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41548" w14:textId="77777777" w:rsidR="002C16DB" w:rsidRPr="002C16DB" w:rsidRDefault="008D6BE2" w:rsidP="002C16DB">
      <w:pPr>
        <w:pStyle w:val="Heading2"/>
      </w:pPr>
      <w:r w:rsidRPr="002C16DB">
        <w:t xml:space="preserve">Checklist </w:t>
      </w:r>
    </w:p>
    <w:p w14:paraId="70A6DF05" w14:textId="073D1D01" w:rsidR="008D6BE2" w:rsidRPr="002C16DB" w:rsidRDefault="00FC1A9D" w:rsidP="00FA0B20">
      <w:pPr>
        <w:pStyle w:val="Heading1"/>
        <w:rPr>
          <w:szCs w:val="52"/>
        </w:rPr>
      </w:pPr>
      <w:r w:rsidRPr="00FC1A9D">
        <w:rPr>
          <w:szCs w:val="52"/>
        </w:rPr>
        <w:t>Closing a Law Practice</w:t>
      </w:r>
    </w:p>
    <w:tbl>
      <w:tblPr>
        <w:tblStyle w:val="TableGrid"/>
        <w:tblW w:w="9016" w:type="dxa"/>
        <w:tblBorders>
          <w:top w:val="single" w:sz="4" w:space="0" w:color="0F2D5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6BE2" w14:paraId="13D831F1" w14:textId="77777777" w:rsidTr="009734F4">
        <w:tc>
          <w:tcPr>
            <w:tcW w:w="9016" w:type="dxa"/>
            <w:tcBorders>
              <w:top w:val="single" w:sz="48" w:space="0" w:color="0F2D52"/>
            </w:tcBorders>
          </w:tcPr>
          <w:p w14:paraId="560B8AC9" w14:textId="77777777" w:rsidR="008D6BE2" w:rsidRDefault="008D6BE2" w:rsidP="008D6BE2"/>
        </w:tc>
      </w:tr>
    </w:tbl>
    <w:p w14:paraId="341D17B1" w14:textId="0DFEF9AC" w:rsidR="00A32C16" w:rsidRPr="000E0A01" w:rsidRDefault="00F66CEE" w:rsidP="000E0A01">
      <w:pPr>
        <w:pStyle w:val="Heading2"/>
      </w:pPr>
      <w:r w:rsidRPr="000E0A01">
        <w:t>ESSENTIAL PRELIMINARY CONSIDERATIONS:</w:t>
      </w:r>
    </w:p>
    <w:p w14:paraId="6EE1DAA6" w14:textId="27ACF603" w:rsidR="00FC1A9D" w:rsidRDefault="00A4270E" w:rsidP="002F5193">
      <w:pPr>
        <w:pStyle w:val="Body"/>
        <w:ind w:left="567" w:hanging="567"/>
        <w:jc w:val="both"/>
      </w:pPr>
      <w:sdt>
        <w:sdtPr>
          <w:rPr>
            <w:rFonts w:ascii="Wingdings 2" w:hAnsi="Wingdings 2"/>
            <w:sz w:val="28"/>
            <w:szCs w:val="28"/>
          </w:rPr>
          <w:id w:val="1186943900"/>
          <w14:checkbox>
            <w14:checked w14:val="0"/>
            <w14:checkedState w14:val="2612" w14:font="MS Gothic"/>
            <w14:uncheckedState w14:val="2610" w14:font="MS Gothic"/>
          </w14:checkbox>
        </w:sdtPr>
        <w:sdtEndPr/>
        <w:sdtContent>
          <w:r w:rsidR="004A51A1">
            <w:rPr>
              <w:rFonts w:ascii="MS Gothic" w:eastAsia="MS Gothic" w:hAnsi="MS Gothic" w:hint="eastAsia"/>
              <w:sz w:val="28"/>
              <w:szCs w:val="28"/>
            </w:rPr>
            <w:t>☐</w:t>
          </w:r>
        </w:sdtContent>
      </w:sdt>
      <w:r w:rsidR="00A32C16">
        <w:rPr>
          <w:rFonts w:ascii="Wingdings 2" w:hAnsi="Wingdings 2"/>
          <w:sz w:val="28"/>
          <w:szCs w:val="28"/>
        </w:rPr>
        <w:t></w:t>
      </w:r>
      <w:r w:rsidR="00FC1A9D">
        <w:t>Seek preliminary advice from a financial or business adviser – review your financial data and consider the anticipated solvency position</w:t>
      </w:r>
      <w:r w:rsidR="007E04EB">
        <w:t>.</w:t>
      </w:r>
    </w:p>
    <w:p w14:paraId="5E3C2FA1" w14:textId="7018EBAF" w:rsidR="00A32C16" w:rsidRPr="00FC1A9D" w:rsidRDefault="00A4270E" w:rsidP="002F5193">
      <w:pPr>
        <w:pStyle w:val="Body"/>
        <w:ind w:left="567" w:hanging="567"/>
        <w:jc w:val="both"/>
      </w:pPr>
      <w:sdt>
        <w:sdtPr>
          <w:rPr>
            <w:rFonts w:ascii="Wingdings 2" w:hAnsi="Wingdings 2"/>
            <w:sz w:val="28"/>
            <w:szCs w:val="28"/>
          </w:rPr>
          <w:id w:val="768121972"/>
          <w14:checkbox>
            <w14:checked w14:val="0"/>
            <w14:checkedState w14:val="2612" w14:font="MS Gothic"/>
            <w14:uncheckedState w14:val="2610" w14:font="MS Gothic"/>
          </w14:checkbox>
        </w:sdtPr>
        <w:sdtEndPr/>
        <w:sdtContent>
          <w:r w:rsidR="004A51A1">
            <w:rPr>
              <w:rFonts w:ascii="MS Gothic" w:eastAsia="MS Gothic" w:hAnsi="MS Gothic" w:hint="eastAsia"/>
              <w:sz w:val="28"/>
              <w:szCs w:val="28"/>
            </w:rPr>
            <w:t>☐</w:t>
          </w:r>
        </w:sdtContent>
      </w:sdt>
      <w:r w:rsidR="00A32C16">
        <w:rPr>
          <w:rFonts w:ascii="Wingdings 2" w:hAnsi="Wingdings 2"/>
          <w:sz w:val="28"/>
          <w:szCs w:val="28"/>
        </w:rPr>
        <w:t></w:t>
      </w:r>
      <w:r w:rsidR="00FC1A9D">
        <w:t>Consider the reason for the closure, alternate options, and the length of time required (or available) to attend to the closure</w:t>
      </w:r>
      <w:r w:rsidR="007E04EB">
        <w:t>.</w:t>
      </w:r>
    </w:p>
    <w:p w14:paraId="45FC19EA" w14:textId="441E7EA6" w:rsidR="00A32C16" w:rsidRDefault="00A4270E" w:rsidP="00FC1A9D">
      <w:pPr>
        <w:pStyle w:val="Body"/>
        <w:ind w:left="567" w:hanging="567"/>
      </w:pPr>
      <w:sdt>
        <w:sdtPr>
          <w:rPr>
            <w:rFonts w:ascii="Wingdings 2" w:hAnsi="Wingdings 2"/>
            <w:sz w:val="28"/>
            <w:szCs w:val="28"/>
          </w:rPr>
          <w:id w:val="602620172"/>
          <w14:checkbox>
            <w14:checked w14:val="0"/>
            <w14:checkedState w14:val="2612" w14:font="MS Gothic"/>
            <w14:uncheckedState w14:val="2610" w14:font="MS Gothic"/>
          </w14:checkbox>
        </w:sdtPr>
        <w:sdtEndPr/>
        <w:sdtContent>
          <w:r w:rsidR="004A51A1">
            <w:rPr>
              <w:rFonts w:ascii="MS Gothic" w:eastAsia="MS Gothic" w:hAnsi="MS Gothic" w:hint="eastAsia"/>
              <w:sz w:val="28"/>
              <w:szCs w:val="28"/>
            </w:rPr>
            <w:t>☐</w:t>
          </w:r>
        </w:sdtContent>
      </w:sdt>
      <w:r w:rsidR="00A32C16">
        <w:rPr>
          <w:rFonts w:ascii="Wingdings 2" w:hAnsi="Wingdings 2"/>
          <w:sz w:val="28"/>
          <w:szCs w:val="28"/>
        </w:rPr>
        <w:t></w:t>
      </w:r>
      <w:r w:rsidR="00FC1A9D">
        <w:t>Consider LawCare’s counselling services as you navigate the transition from running your own practice.</w:t>
      </w:r>
    </w:p>
    <w:p w14:paraId="737B0B75" w14:textId="79E7DAB8" w:rsidR="00A32C16" w:rsidRPr="00947B41" w:rsidRDefault="00A4270E" w:rsidP="002B2296">
      <w:pPr>
        <w:pStyle w:val="Body"/>
        <w:ind w:left="567" w:hanging="567"/>
      </w:pPr>
      <w:sdt>
        <w:sdtPr>
          <w:rPr>
            <w:rFonts w:ascii="Wingdings 2" w:hAnsi="Wingdings 2"/>
            <w:sz w:val="28"/>
            <w:szCs w:val="28"/>
          </w:rPr>
          <w:id w:val="-1919318639"/>
          <w14:checkbox>
            <w14:checked w14:val="0"/>
            <w14:checkedState w14:val="2612" w14:font="MS Gothic"/>
            <w14:uncheckedState w14:val="2610" w14:font="MS Gothic"/>
          </w14:checkbox>
        </w:sdtPr>
        <w:sdtEndPr/>
        <w:sdtContent>
          <w:r w:rsidR="004A51A1">
            <w:rPr>
              <w:rFonts w:ascii="MS Gothic" w:eastAsia="MS Gothic" w:hAnsi="MS Gothic" w:hint="eastAsia"/>
              <w:sz w:val="28"/>
              <w:szCs w:val="28"/>
            </w:rPr>
            <w:t>☐</w:t>
          </w:r>
        </w:sdtContent>
      </w:sdt>
      <w:r w:rsidR="00A32C16">
        <w:rPr>
          <w:rFonts w:ascii="Wingdings 2" w:hAnsi="Wingdings 2"/>
          <w:sz w:val="28"/>
          <w:szCs w:val="28"/>
        </w:rPr>
        <w:t></w:t>
      </w:r>
      <w:r w:rsidR="00FC1A9D">
        <w:t>Set a closure date.</w:t>
      </w:r>
    </w:p>
    <w:p w14:paraId="34D3C062" w14:textId="77777777" w:rsidR="00A32C16" w:rsidRPr="00FF5DC3" w:rsidRDefault="00A32C16" w:rsidP="00A32C16">
      <w:pPr>
        <w:pStyle w:val="Body"/>
        <w:rPr>
          <w:rFonts w:eastAsia="Times New Roman"/>
          <w:lang w:eastAsia="en-AU"/>
        </w:rPr>
      </w:pPr>
    </w:p>
    <w:p w14:paraId="0C4EE09B" w14:textId="5B8E61C7" w:rsidR="00FC1A9D" w:rsidRDefault="00F66CEE" w:rsidP="000E0A01">
      <w:pPr>
        <w:pStyle w:val="Heading2"/>
      </w:pPr>
      <w:r w:rsidRPr="00FC1A9D">
        <w:t xml:space="preserve">CLIENT AND REPUTATIONAL CONSIDERATIONS: </w:t>
      </w:r>
    </w:p>
    <w:p w14:paraId="13CEABB5" w14:textId="6912B867" w:rsidR="00FC1A9D" w:rsidRPr="00FC1A9D" w:rsidRDefault="00A4270E" w:rsidP="002F5193">
      <w:pPr>
        <w:pStyle w:val="Body"/>
        <w:ind w:left="567" w:hanging="567"/>
        <w:jc w:val="both"/>
        <w:rPr>
          <w:rFonts w:eastAsia="Times New Roman"/>
          <w:lang w:eastAsia="en-AU"/>
        </w:rPr>
      </w:pPr>
      <w:sdt>
        <w:sdtPr>
          <w:rPr>
            <w:rFonts w:ascii="Wingdings 2" w:hAnsi="Wingdings 2"/>
            <w:sz w:val="28"/>
            <w:szCs w:val="28"/>
          </w:rPr>
          <w:id w:val="-587069044"/>
          <w14:checkbox>
            <w14:checked w14:val="0"/>
            <w14:checkedState w14:val="2612" w14:font="MS Gothic"/>
            <w14:uncheckedState w14:val="2610" w14:font="MS Gothic"/>
          </w14:checkbox>
        </w:sdtPr>
        <w:sdtEndPr/>
        <w:sdtContent>
          <w:r w:rsidR="004A51A1">
            <w:rPr>
              <w:rFonts w:ascii="MS Gothic" w:eastAsia="MS Gothic" w:hAnsi="MS Gothic" w:hint="eastAsia"/>
              <w:sz w:val="28"/>
              <w:szCs w:val="28"/>
            </w:rPr>
            <w:t>☐</w:t>
          </w:r>
        </w:sdtContent>
      </w:sdt>
      <w:r w:rsidR="00A32C16">
        <w:rPr>
          <w:rFonts w:ascii="Wingdings 2" w:hAnsi="Wingdings 2"/>
          <w:sz w:val="28"/>
          <w:szCs w:val="28"/>
        </w:rPr>
        <w:t></w:t>
      </w:r>
      <w:r w:rsidR="00FC1A9D" w:rsidRPr="00FC1A9D">
        <w:rPr>
          <w:rFonts w:eastAsia="Times New Roman"/>
          <w:lang w:eastAsia="en-AU"/>
        </w:rPr>
        <w:t>Undertake a risk analysis of all current files and consider current matter status and anticipated next steps. Ensure the file is ordered and clear on the next steps required.</w:t>
      </w:r>
    </w:p>
    <w:p w14:paraId="645998A6" w14:textId="1D4A09BD" w:rsidR="00FC1A9D" w:rsidRPr="00FC1A9D" w:rsidRDefault="00A4270E" w:rsidP="00FC1A9D">
      <w:pPr>
        <w:pStyle w:val="Body"/>
        <w:ind w:left="567" w:hanging="567"/>
        <w:rPr>
          <w:rFonts w:eastAsia="Times New Roman"/>
          <w:lang w:eastAsia="en-AU"/>
        </w:rPr>
      </w:pPr>
      <w:sdt>
        <w:sdtPr>
          <w:rPr>
            <w:rFonts w:ascii="Wingdings 2" w:hAnsi="Wingdings 2"/>
            <w:sz w:val="28"/>
            <w:szCs w:val="28"/>
          </w:rPr>
          <w:id w:val="1717467363"/>
          <w14:checkbox>
            <w14:checked w14:val="0"/>
            <w14:checkedState w14:val="2612" w14:font="MS Gothic"/>
            <w14:uncheckedState w14:val="2610" w14:font="MS Gothic"/>
          </w14:checkbox>
        </w:sdtPr>
        <w:sdtEndPr/>
        <w:sdtContent>
          <w:r w:rsidR="00A32C16">
            <w:rPr>
              <w:rFonts w:ascii="MS Gothic" w:eastAsia="MS Gothic" w:hAnsi="MS Gothic" w:hint="eastAsia"/>
              <w:sz w:val="28"/>
              <w:szCs w:val="28"/>
            </w:rPr>
            <w:t>☐</w:t>
          </w:r>
        </w:sdtContent>
      </w:sdt>
      <w:r w:rsidR="00A32C16">
        <w:rPr>
          <w:rFonts w:ascii="Wingdings 2" w:hAnsi="Wingdings 2"/>
          <w:sz w:val="28"/>
          <w:szCs w:val="28"/>
        </w:rPr>
        <w:t></w:t>
      </w:r>
      <w:r w:rsidR="00FC1A9D" w:rsidRPr="00FC1A9D">
        <w:rPr>
          <w:rFonts w:eastAsia="Times New Roman"/>
          <w:lang w:eastAsia="en-AU"/>
        </w:rPr>
        <w:t>Notify clients, referrers and suppliers of the intended closure date.</w:t>
      </w:r>
    </w:p>
    <w:p w14:paraId="40E878C6" w14:textId="4A0BE13B" w:rsidR="00FC1A9D" w:rsidRPr="00FC1A9D" w:rsidRDefault="00A4270E" w:rsidP="00FC1A9D">
      <w:pPr>
        <w:pStyle w:val="Body"/>
        <w:ind w:left="567" w:hanging="567"/>
        <w:rPr>
          <w:rFonts w:eastAsia="Times New Roman"/>
          <w:lang w:eastAsia="en-AU"/>
        </w:rPr>
      </w:pPr>
      <w:sdt>
        <w:sdtPr>
          <w:rPr>
            <w:rFonts w:ascii="Wingdings 2" w:hAnsi="Wingdings 2"/>
            <w:sz w:val="28"/>
            <w:szCs w:val="28"/>
          </w:rPr>
          <w:id w:val="1877426529"/>
          <w14:checkbox>
            <w14:checked w14:val="0"/>
            <w14:checkedState w14:val="2612" w14:font="MS Gothic"/>
            <w14:uncheckedState w14:val="2610" w14:font="MS Gothic"/>
          </w14:checkbox>
        </w:sdtPr>
        <w:sdtEndPr/>
        <w:sdtContent>
          <w:r w:rsidR="00A32C16">
            <w:rPr>
              <w:rFonts w:ascii="MS Gothic" w:eastAsia="MS Gothic" w:hAnsi="MS Gothic" w:hint="eastAsia"/>
              <w:sz w:val="28"/>
              <w:szCs w:val="28"/>
            </w:rPr>
            <w:t>☐</w:t>
          </w:r>
        </w:sdtContent>
      </w:sdt>
      <w:r w:rsidR="00A32C16">
        <w:rPr>
          <w:rFonts w:ascii="Wingdings 2" w:hAnsi="Wingdings 2"/>
          <w:sz w:val="28"/>
          <w:szCs w:val="28"/>
        </w:rPr>
        <w:t></w:t>
      </w:r>
      <w:r w:rsidR="00FC1A9D" w:rsidRPr="00FC1A9D">
        <w:rPr>
          <w:rFonts w:eastAsia="Times New Roman"/>
          <w:lang w:eastAsia="en-AU"/>
        </w:rPr>
        <w:t>Advise clients in writing of any critical dates on their files and the consequences if they fail to address the issue before the expiry of the critical date</w:t>
      </w:r>
      <w:r w:rsidR="007E04EB">
        <w:rPr>
          <w:rFonts w:eastAsia="Times New Roman"/>
          <w:lang w:eastAsia="en-AU"/>
        </w:rPr>
        <w:t>.</w:t>
      </w:r>
    </w:p>
    <w:p w14:paraId="2D3EE494" w14:textId="53379566" w:rsidR="00FC1A9D" w:rsidRPr="00FC1A9D" w:rsidRDefault="00A4270E" w:rsidP="002F5193">
      <w:pPr>
        <w:pStyle w:val="Body"/>
        <w:ind w:left="567" w:hanging="567"/>
        <w:jc w:val="both"/>
        <w:rPr>
          <w:rFonts w:eastAsia="Times New Roman"/>
          <w:lang w:eastAsia="en-AU"/>
        </w:rPr>
      </w:pPr>
      <w:sdt>
        <w:sdtPr>
          <w:rPr>
            <w:rFonts w:ascii="Wingdings 2" w:hAnsi="Wingdings 2"/>
            <w:sz w:val="28"/>
            <w:szCs w:val="28"/>
          </w:rPr>
          <w:id w:val="1697574409"/>
          <w14:checkbox>
            <w14:checked w14:val="0"/>
            <w14:checkedState w14:val="2612" w14:font="MS Gothic"/>
            <w14:uncheckedState w14:val="2610" w14:font="MS Gothic"/>
          </w14:checkbox>
        </w:sdtPr>
        <w:sdtEndPr/>
        <w:sdtContent>
          <w:r w:rsidR="00A32C16">
            <w:rPr>
              <w:rFonts w:ascii="MS Gothic" w:eastAsia="MS Gothic" w:hAnsi="MS Gothic" w:hint="eastAsia"/>
              <w:sz w:val="28"/>
              <w:szCs w:val="28"/>
            </w:rPr>
            <w:t>☐</w:t>
          </w:r>
        </w:sdtContent>
      </w:sdt>
      <w:r w:rsidR="00A32C16">
        <w:rPr>
          <w:rFonts w:ascii="Wingdings 2" w:hAnsi="Wingdings 2"/>
          <w:sz w:val="28"/>
          <w:szCs w:val="28"/>
        </w:rPr>
        <w:t></w:t>
      </w:r>
      <w:r w:rsidR="00FC1A9D" w:rsidRPr="00FC1A9D">
        <w:rPr>
          <w:rFonts w:eastAsia="Times New Roman"/>
          <w:lang w:eastAsia="en-AU"/>
        </w:rPr>
        <w:t xml:space="preserve">Consider whether you will provide clients with a list of practitioners who may be able to assist with current or </w:t>
      </w:r>
      <w:r w:rsidR="00FC1A9D" w:rsidRPr="002F5193">
        <w:rPr>
          <w:rFonts w:eastAsia="Times New Roman"/>
          <w:lang w:eastAsia="en-AU"/>
        </w:rPr>
        <w:t xml:space="preserve">future matters </w:t>
      </w:r>
      <w:r w:rsidR="002F5193" w:rsidRPr="002F5193">
        <w:rPr>
          <w:rFonts w:eastAsia="Times New Roman"/>
          <w:color w:val="333333"/>
          <w:lang w:eastAsia="en-AU"/>
        </w:rPr>
        <w:t>[note the prior law practice/ successor</w:t>
      </w:r>
      <w:r w:rsidR="002F5193">
        <w:rPr>
          <w:rFonts w:eastAsia="Times New Roman"/>
          <w:color w:val="333333"/>
          <w:lang w:eastAsia="en-AU"/>
        </w:rPr>
        <w:t xml:space="preserve"> law practice implications</w:t>
      </w:r>
      <w:r w:rsidR="002F5193" w:rsidRPr="002F5193">
        <w:rPr>
          <w:rFonts w:eastAsia="Times New Roman"/>
          <w:color w:val="333333"/>
          <w:lang w:eastAsia="en-AU"/>
        </w:rPr>
        <w:t xml:space="preserve"> for the purposes of professional indemnity insurance should be discussed with Lexon (or your professional indemnity insurer)</w:t>
      </w:r>
      <w:r w:rsidR="00FC1A9D" w:rsidRPr="002F5193">
        <w:rPr>
          <w:rFonts w:eastAsia="Times New Roman"/>
          <w:lang w:eastAsia="en-AU"/>
        </w:rPr>
        <w:t>]. Alternatively arrange for clients to collect their files and seek their own alternate legal representation.</w:t>
      </w:r>
    </w:p>
    <w:p w14:paraId="7D1CB29F" w14:textId="6CA91C8A" w:rsidR="00FC1A9D" w:rsidRPr="00FC1A9D" w:rsidRDefault="00A4270E" w:rsidP="00FC1A9D">
      <w:pPr>
        <w:pStyle w:val="Body"/>
        <w:ind w:left="567" w:hanging="567"/>
        <w:rPr>
          <w:rFonts w:eastAsia="Times New Roman"/>
          <w:lang w:eastAsia="en-AU"/>
        </w:rPr>
      </w:pPr>
      <w:sdt>
        <w:sdtPr>
          <w:rPr>
            <w:rFonts w:ascii="Wingdings 2" w:hAnsi="Wingdings 2"/>
            <w:sz w:val="28"/>
            <w:szCs w:val="28"/>
          </w:rPr>
          <w:id w:val="1174381233"/>
          <w14:checkbox>
            <w14:checked w14:val="0"/>
            <w14:checkedState w14:val="2612" w14:font="MS Gothic"/>
            <w14:uncheckedState w14:val="2610" w14:font="MS Gothic"/>
          </w14:checkbox>
        </w:sdtPr>
        <w:sdtEndPr/>
        <w:sdtContent>
          <w:r w:rsidR="00A32C16">
            <w:rPr>
              <w:rFonts w:ascii="MS Gothic" w:eastAsia="MS Gothic" w:hAnsi="MS Gothic" w:hint="eastAsia"/>
              <w:sz w:val="28"/>
              <w:szCs w:val="28"/>
            </w:rPr>
            <w:t>☐</w:t>
          </w:r>
        </w:sdtContent>
      </w:sdt>
      <w:r w:rsidR="00A32C16">
        <w:rPr>
          <w:rFonts w:ascii="Wingdings 2" w:hAnsi="Wingdings 2"/>
          <w:sz w:val="28"/>
          <w:szCs w:val="28"/>
        </w:rPr>
        <w:t></w:t>
      </w:r>
      <w:r w:rsidR="00FC1A9D" w:rsidRPr="00FC1A9D">
        <w:rPr>
          <w:rFonts w:eastAsia="Times New Roman"/>
          <w:lang w:eastAsia="en-AU"/>
        </w:rPr>
        <w:t>Ensure all undertakings given by the practice have been honoured.</w:t>
      </w:r>
    </w:p>
    <w:p w14:paraId="6A741F6A" w14:textId="1DC78A22" w:rsidR="00A32C16" w:rsidRDefault="00A4270E" w:rsidP="002F5193">
      <w:pPr>
        <w:pStyle w:val="Body"/>
        <w:ind w:left="567" w:hanging="567"/>
        <w:jc w:val="both"/>
        <w:rPr>
          <w:rFonts w:eastAsia="Times New Roman"/>
          <w:lang w:eastAsia="en-AU"/>
        </w:rPr>
      </w:pPr>
      <w:sdt>
        <w:sdtPr>
          <w:rPr>
            <w:rFonts w:ascii="Wingdings 2" w:hAnsi="Wingdings 2"/>
            <w:sz w:val="28"/>
            <w:szCs w:val="28"/>
          </w:rPr>
          <w:id w:val="-1481764105"/>
          <w14:checkbox>
            <w14:checked w14:val="0"/>
            <w14:checkedState w14:val="2612" w14:font="MS Gothic"/>
            <w14:uncheckedState w14:val="2610" w14:font="MS Gothic"/>
          </w14:checkbox>
        </w:sdtPr>
        <w:sdtEndPr/>
        <w:sdtContent>
          <w:r w:rsidR="00A32C16">
            <w:rPr>
              <w:rFonts w:ascii="MS Gothic" w:eastAsia="MS Gothic" w:hAnsi="MS Gothic" w:hint="eastAsia"/>
              <w:sz w:val="28"/>
              <w:szCs w:val="28"/>
            </w:rPr>
            <w:t>☐</w:t>
          </w:r>
        </w:sdtContent>
      </w:sdt>
      <w:r w:rsidR="00A32C16">
        <w:rPr>
          <w:rFonts w:ascii="Wingdings 2" w:hAnsi="Wingdings 2"/>
          <w:sz w:val="28"/>
          <w:szCs w:val="28"/>
        </w:rPr>
        <w:t></w:t>
      </w:r>
      <w:r w:rsidR="00FC1A9D" w:rsidRPr="00FC1A9D">
        <w:rPr>
          <w:rFonts w:eastAsia="Times New Roman"/>
          <w:lang w:eastAsia="en-AU"/>
        </w:rPr>
        <w:t>Where the practice is the solicitor on record, make arrangements to file the appropriate form</w:t>
      </w:r>
      <w:r w:rsidR="005E471A">
        <w:rPr>
          <w:rFonts w:eastAsia="Times New Roman"/>
          <w:lang w:eastAsia="en-AU"/>
        </w:rPr>
        <w:t xml:space="preserve"> in the Court or Tribunal Registry</w:t>
      </w:r>
      <w:r w:rsidR="00FC1A9D" w:rsidRPr="00FC1A9D">
        <w:rPr>
          <w:rFonts w:eastAsia="Times New Roman"/>
          <w:lang w:eastAsia="en-AU"/>
        </w:rPr>
        <w:t xml:space="preserve"> to withdraw from the record.</w:t>
      </w:r>
    </w:p>
    <w:p w14:paraId="6A61B03D" w14:textId="4A253146" w:rsidR="00FC1A9D" w:rsidRDefault="00A4270E" w:rsidP="00FC1A9D">
      <w:pPr>
        <w:pStyle w:val="Body"/>
        <w:ind w:left="567" w:hanging="567"/>
        <w:rPr>
          <w:rFonts w:eastAsia="Times New Roman"/>
          <w:lang w:eastAsia="en-AU"/>
        </w:rPr>
      </w:pPr>
      <w:sdt>
        <w:sdtPr>
          <w:rPr>
            <w:rFonts w:ascii="Wingdings 2" w:hAnsi="Wingdings 2"/>
            <w:sz w:val="28"/>
            <w:szCs w:val="28"/>
          </w:rPr>
          <w:id w:val="914129658"/>
          <w14:checkbox>
            <w14:checked w14:val="0"/>
            <w14:checkedState w14:val="2612" w14:font="MS Gothic"/>
            <w14:uncheckedState w14:val="2610" w14:font="MS Gothic"/>
          </w14:checkbox>
        </w:sdtPr>
        <w:sdtEndPr/>
        <w:sdtContent>
          <w:r w:rsidR="002B3D9E">
            <w:rPr>
              <w:rFonts w:ascii="MS Gothic" w:eastAsia="MS Gothic" w:hAnsi="MS Gothic" w:hint="eastAsia"/>
              <w:sz w:val="28"/>
              <w:szCs w:val="28"/>
            </w:rPr>
            <w:t>☐</w:t>
          </w:r>
        </w:sdtContent>
      </w:sdt>
      <w:r w:rsidR="00A32C16">
        <w:rPr>
          <w:rFonts w:ascii="Wingdings 2" w:hAnsi="Wingdings 2"/>
          <w:sz w:val="28"/>
          <w:szCs w:val="28"/>
        </w:rPr>
        <w:t></w:t>
      </w:r>
      <w:r w:rsidR="00FC1A9D" w:rsidRPr="00FC1A9D">
        <w:rPr>
          <w:rFonts w:eastAsia="Times New Roman"/>
          <w:lang w:eastAsia="en-AU"/>
        </w:rPr>
        <w:t>You should also consider whether:</w:t>
      </w:r>
    </w:p>
    <w:p w14:paraId="0E45685E" w14:textId="7943B262" w:rsidR="00FC1A9D" w:rsidRPr="00FC1A9D" w:rsidRDefault="00A4270E" w:rsidP="002F5193">
      <w:pPr>
        <w:pStyle w:val="Body"/>
        <w:ind w:left="1134" w:hanging="567"/>
        <w:jc w:val="both"/>
        <w:rPr>
          <w:rFonts w:eastAsia="Times New Roman"/>
          <w:lang w:eastAsia="en-AU"/>
        </w:rPr>
      </w:pPr>
      <w:sdt>
        <w:sdtPr>
          <w:rPr>
            <w:rFonts w:ascii="Wingdings 2" w:hAnsi="Wingdings 2"/>
            <w:sz w:val="28"/>
            <w:szCs w:val="28"/>
          </w:rPr>
          <w:id w:val="-1600244924"/>
          <w14:checkbox>
            <w14:checked w14:val="0"/>
            <w14:checkedState w14:val="2612" w14:font="MS Gothic"/>
            <w14:uncheckedState w14:val="2610" w14:font="MS Gothic"/>
          </w14:checkbox>
        </w:sdtPr>
        <w:sdtEndPr/>
        <w:sdtContent>
          <w:r w:rsidR="00FC1A9D">
            <w:rPr>
              <w:rFonts w:ascii="MS Gothic" w:eastAsia="MS Gothic" w:hAnsi="MS Gothic" w:hint="eastAsia"/>
              <w:sz w:val="28"/>
              <w:szCs w:val="28"/>
            </w:rPr>
            <w:t>☐</w:t>
          </w:r>
        </w:sdtContent>
      </w:sdt>
      <w:r w:rsidR="00FC1A9D">
        <w:rPr>
          <w:rFonts w:ascii="Wingdings 2" w:hAnsi="Wingdings 2"/>
          <w:sz w:val="28"/>
          <w:szCs w:val="28"/>
        </w:rPr>
        <w:t></w:t>
      </w:r>
      <w:r w:rsidR="00FC1A9D" w:rsidRPr="00FC1A9D">
        <w:rPr>
          <w:rFonts w:eastAsia="Times New Roman"/>
          <w:lang w:eastAsia="en-AU"/>
        </w:rPr>
        <w:t>You are a proposed executor, trustee, appoint</w:t>
      </w:r>
      <w:r w:rsidR="005E471A">
        <w:rPr>
          <w:rFonts w:eastAsia="Times New Roman"/>
          <w:lang w:eastAsia="en-AU"/>
        </w:rPr>
        <w:t>o</w:t>
      </w:r>
      <w:r w:rsidR="00FC1A9D" w:rsidRPr="00FC1A9D">
        <w:rPr>
          <w:rFonts w:eastAsia="Times New Roman"/>
          <w:lang w:eastAsia="en-AU"/>
        </w:rPr>
        <w:t xml:space="preserve">r or attorney for any client? Notify all clients who are still living to update their documents if you no longer wish to be appointed in that role or provide those clients with </w:t>
      </w:r>
      <w:r w:rsidR="000E0A01" w:rsidRPr="00FC1A9D">
        <w:rPr>
          <w:rFonts w:eastAsia="Times New Roman"/>
          <w:lang w:eastAsia="en-AU"/>
        </w:rPr>
        <w:t>updated contact</w:t>
      </w:r>
      <w:r w:rsidR="00FC1A9D" w:rsidRPr="00FC1A9D">
        <w:rPr>
          <w:rFonts w:eastAsia="Times New Roman"/>
          <w:lang w:eastAsia="en-AU"/>
        </w:rPr>
        <w:t xml:space="preserve"> details if you do.</w:t>
      </w:r>
    </w:p>
    <w:p w14:paraId="17C1A855" w14:textId="58A23527" w:rsidR="00FC1A9D" w:rsidRPr="00FC1A9D" w:rsidRDefault="00A4270E" w:rsidP="002F5193">
      <w:pPr>
        <w:pStyle w:val="Body"/>
        <w:ind w:left="1134" w:hanging="567"/>
        <w:jc w:val="both"/>
        <w:rPr>
          <w:rFonts w:eastAsia="Times New Roman"/>
          <w:lang w:eastAsia="en-AU"/>
        </w:rPr>
      </w:pPr>
      <w:sdt>
        <w:sdtPr>
          <w:rPr>
            <w:rFonts w:ascii="Wingdings 2" w:hAnsi="Wingdings 2"/>
            <w:sz w:val="28"/>
            <w:szCs w:val="28"/>
          </w:rPr>
          <w:id w:val="-88242238"/>
          <w14:checkbox>
            <w14:checked w14:val="0"/>
            <w14:checkedState w14:val="2612" w14:font="MS Gothic"/>
            <w14:uncheckedState w14:val="2610" w14:font="MS Gothic"/>
          </w14:checkbox>
        </w:sdtPr>
        <w:sdtEndPr/>
        <w:sdtContent>
          <w:r w:rsidR="00FC1A9D">
            <w:rPr>
              <w:rFonts w:ascii="MS Gothic" w:eastAsia="MS Gothic" w:hAnsi="MS Gothic" w:hint="eastAsia"/>
              <w:sz w:val="28"/>
              <w:szCs w:val="28"/>
            </w:rPr>
            <w:t>☐</w:t>
          </w:r>
        </w:sdtContent>
      </w:sdt>
      <w:r w:rsidR="00FC1A9D">
        <w:rPr>
          <w:rFonts w:ascii="Wingdings 2" w:hAnsi="Wingdings 2"/>
          <w:sz w:val="28"/>
          <w:szCs w:val="28"/>
        </w:rPr>
        <w:t></w:t>
      </w:r>
      <w:r w:rsidR="00FC1A9D" w:rsidRPr="00FC1A9D">
        <w:rPr>
          <w:rFonts w:eastAsia="Times New Roman"/>
          <w:lang w:eastAsia="en-AU"/>
        </w:rPr>
        <w:t>You are acting as a done</w:t>
      </w:r>
      <w:r w:rsidR="00E346E4">
        <w:rPr>
          <w:rFonts w:eastAsia="Times New Roman"/>
          <w:lang w:eastAsia="en-AU"/>
        </w:rPr>
        <w:t>e</w:t>
      </w:r>
      <w:r w:rsidR="00FC1A9D" w:rsidRPr="00FC1A9D">
        <w:rPr>
          <w:rFonts w:eastAsia="Times New Roman"/>
          <w:lang w:eastAsia="en-AU"/>
        </w:rPr>
        <w:t xml:space="preserve"> of a power of attorney? Where your client has lost capacity and you are the only attorney, consider the need to apply to QCAT for consent to withdraw as attorney</w:t>
      </w:r>
      <w:r w:rsidR="005E471A">
        <w:rPr>
          <w:rFonts w:eastAsia="Times New Roman"/>
          <w:lang w:eastAsia="en-AU"/>
        </w:rPr>
        <w:t xml:space="preserve"> if you no longer wish to act in this role</w:t>
      </w:r>
      <w:r w:rsidR="00FC1A9D" w:rsidRPr="00FC1A9D">
        <w:rPr>
          <w:rFonts w:eastAsia="Times New Roman"/>
          <w:lang w:eastAsia="en-AU"/>
        </w:rPr>
        <w:t>.</w:t>
      </w:r>
    </w:p>
    <w:p w14:paraId="7B63719C" w14:textId="4C34D2C0" w:rsidR="00FC1A9D" w:rsidRPr="00FC1A9D" w:rsidRDefault="00A4270E" w:rsidP="007E04EB">
      <w:pPr>
        <w:pStyle w:val="Body"/>
        <w:ind w:left="1134" w:hanging="567"/>
        <w:rPr>
          <w:rFonts w:eastAsia="Times New Roman"/>
          <w:lang w:eastAsia="en-AU"/>
        </w:rPr>
      </w:pPr>
      <w:sdt>
        <w:sdtPr>
          <w:rPr>
            <w:rFonts w:ascii="Wingdings 2" w:hAnsi="Wingdings 2"/>
            <w:sz w:val="28"/>
            <w:szCs w:val="28"/>
          </w:rPr>
          <w:id w:val="1840346246"/>
          <w14:checkbox>
            <w14:checked w14:val="0"/>
            <w14:checkedState w14:val="2612" w14:font="MS Gothic"/>
            <w14:uncheckedState w14:val="2610" w14:font="MS Gothic"/>
          </w14:checkbox>
        </w:sdtPr>
        <w:sdtEndPr/>
        <w:sdtContent>
          <w:r w:rsidR="00FC1A9D">
            <w:rPr>
              <w:rFonts w:ascii="MS Gothic" w:eastAsia="MS Gothic" w:hAnsi="MS Gothic" w:hint="eastAsia"/>
              <w:sz w:val="28"/>
              <w:szCs w:val="28"/>
            </w:rPr>
            <w:t>☐</w:t>
          </w:r>
        </w:sdtContent>
      </w:sdt>
      <w:r w:rsidR="00FC1A9D">
        <w:rPr>
          <w:rFonts w:ascii="Wingdings 2" w:hAnsi="Wingdings 2"/>
          <w:sz w:val="28"/>
          <w:szCs w:val="28"/>
        </w:rPr>
        <w:t></w:t>
      </w:r>
      <w:r w:rsidR="00FC1A9D" w:rsidRPr="00FC1A9D">
        <w:rPr>
          <w:rFonts w:eastAsia="Times New Roman"/>
          <w:lang w:eastAsia="en-AU"/>
        </w:rPr>
        <w:t xml:space="preserve">Your practice is the registered office of any client company? </w:t>
      </w:r>
    </w:p>
    <w:p w14:paraId="310A585F" w14:textId="2185FC66" w:rsidR="00FC1A9D" w:rsidRPr="00FC1A9D" w:rsidRDefault="00A4270E" w:rsidP="000E0A01">
      <w:pPr>
        <w:pStyle w:val="Body"/>
        <w:ind w:left="567" w:hanging="567"/>
        <w:rPr>
          <w:rFonts w:eastAsia="Times New Roman"/>
          <w:lang w:eastAsia="en-AU"/>
        </w:rPr>
      </w:pPr>
      <w:sdt>
        <w:sdtPr>
          <w:rPr>
            <w:rFonts w:ascii="Wingdings 2" w:hAnsi="Wingdings 2"/>
            <w:sz w:val="28"/>
            <w:szCs w:val="28"/>
          </w:rPr>
          <w:id w:val="-1762676328"/>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FC1A9D">
        <w:rPr>
          <w:rFonts w:ascii="Wingdings 2" w:hAnsi="Wingdings 2"/>
          <w:sz w:val="28"/>
          <w:szCs w:val="28"/>
        </w:rPr>
        <w:t></w:t>
      </w:r>
      <w:r w:rsidR="00FC1A9D" w:rsidRPr="00FC1A9D">
        <w:rPr>
          <w:rFonts w:eastAsia="Times New Roman"/>
          <w:lang w:eastAsia="en-AU"/>
        </w:rPr>
        <w:t>Bill all work completed to date, subject to terms of client agreement.</w:t>
      </w:r>
    </w:p>
    <w:p w14:paraId="74ED0129" w14:textId="5F2041FD" w:rsidR="00FC1A9D" w:rsidRPr="00FC1A9D" w:rsidRDefault="00A4270E" w:rsidP="002F5193">
      <w:pPr>
        <w:pStyle w:val="Body"/>
        <w:ind w:left="567" w:hanging="567"/>
        <w:jc w:val="both"/>
        <w:rPr>
          <w:rFonts w:eastAsia="Times New Roman"/>
          <w:lang w:eastAsia="en-AU"/>
        </w:rPr>
      </w:pPr>
      <w:sdt>
        <w:sdtPr>
          <w:rPr>
            <w:rFonts w:ascii="Wingdings 2" w:hAnsi="Wingdings 2"/>
            <w:sz w:val="28"/>
            <w:szCs w:val="28"/>
          </w:rPr>
          <w:id w:val="1703972441"/>
          <w14:checkbox>
            <w14:checked w14:val="0"/>
            <w14:checkedState w14:val="2612" w14:font="MS Gothic"/>
            <w14:uncheckedState w14:val="2610" w14:font="MS Gothic"/>
          </w14:checkbox>
        </w:sdtPr>
        <w:sdtEndPr/>
        <w:sdtContent>
          <w:r w:rsidR="00FC1A9D">
            <w:rPr>
              <w:rFonts w:ascii="MS Gothic" w:eastAsia="MS Gothic" w:hAnsi="MS Gothic" w:hint="eastAsia"/>
              <w:sz w:val="28"/>
              <w:szCs w:val="28"/>
            </w:rPr>
            <w:t>☐</w:t>
          </w:r>
        </w:sdtContent>
      </w:sdt>
      <w:r w:rsidR="00FC1A9D">
        <w:rPr>
          <w:rFonts w:ascii="Wingdings 2" w:hAnsi="Wingdings 2"/>
          <w:sz w:val="28"/>
          <w:szCs w:val="28"/>
        </w:rPr>
        <w:t></w:t>
      </w:r>
      <w:r w:rsidR="000E0A01" w:rsidRPr="00FC1A9D">
        <w:rPr>
          <w:rFonts w:eastAsia="Times New Roman"/>
          <w:lang w:eastAsia="en-AU"/>
        </w:rPr>
        <w:t xml:space="preserve">Arrange for collection or transfer of safe custody documents. How will you manage uncollected safe custody documents? As a bailor, you have a specific obligation to return safe custody documents to your clients or continue to hold such documents indefinitely. </w:t>
      </w:r>
    </w:p>
    <w:p w14:paraId="43527B21" w14:textId="73906671" w:rsidR="00FC1A9D" w:rsidRDefault="00A4270E" w:rsidP="002F5193">
      <w:pPr>
        <w:pStyle w:val="Body"/>
        <w:ind w:left="567" w:hanging="567"/>
        <w:jc w:val="both"/>
        <w:rPr>
          <w:rFonts w:eastAsia="Times New Roman"/>
          <w:lang w:eastAsia="en-AU"/>
        </w:rPr>
      </w:pPr>
      <w:sdt>
        <w:sdtPr>
          <w:rPr>
            <w:rFonts w:ascii="Wingdings 2" w:hAnsi="Wingdings 2"/>
            <w:sz w:val="28"/>
            <w:szCs w:val="28"/>
          </w:rPr>
          <w:id w:val="1081331129"/>
          <w14:checkbox>
            <w14:checked w14:val="0"/>
            <w14:checkedState w14:val="2612" w14:font="MS Gothic"/>
            <w14:uncheckedState w14:val="2610" w14:font="MS Gothic"/>
          </w14:checkbox>
        </w:sdtPr>
        <w:sdtEndPr/>
        <w:sdtContent>
          <w:r w:rsidR="00FC1A9D">
            <w:rPr>
              <w:rFonts w:ascii="MS Gothic" w:eastAsia="MS Gothic" w:hAnsi="MS Gothic" w:hint="eastAsia"/>
              <w:sz w:val="28"/>
              <w:szCs w:val="28"/>
            </w:rPr>
            <w:t>☐</w:t>
          </w:r>
        </w:sdtContent>
      </w:sdt>
      <w:r w:rsidR="00FC1A9D">
        <w:rPr>
          <w:rFonts w:ascii="Wingdings 2" w:hAnsi="Wingdings 2"/>
          <w:sz w:val="28"/>
          <w:szCs w:val="28"/>
        </w:rPr>
        <w:t></w:t>
      </w:r>
      <w:r w:rsidR="000E0A01" w:rsidRPr="00FC1A9D">
        <w:rPr>
          <w:rFonts w:eastAsia="Times New Roman"/>
          <w:lang w:eastAsia="en-AU"/>
        </w:rPr>
        <w:t xml:space="preserve">Arrange for the retention, transfer or destruction of closed client files and electronic records ensuring compliance with Rule 14 of the </w:t>
      </w:r>
      <w:r w:rsidR="000E0A01" w:rsidRPr="007E04EB">
        <w:rPr>
          <w:rFonts w:eastAsia="Times New Roman"/>
          <w:i/>
          <w:iCs/>
          <w:lang w:eastAsia="en-AU"/>
        </w:rPr>
        <w:t>Australian Solicitors Conduct Rules 2012</w:t>
      </w:r>
      <w:r w:rsidR="000E0A01" w:rsidRPr="00FC1A9D">
        <w:rPr>
          <w:rFonts w:eastAsia="Times New Roman"/>
          <w:lang w:eastAsia="en-AU"/>
        </w:rPr>
        <w:t xml:space="preserve">. Closing your practice does not absolve you from meeting these obligations. </w:t>
      </w:r>
    </w:p>
    <w:p w14:paraId="42661E3B" w14:textId="7BEE9173" w:rsidR="00A32C16" w:rsidRDefault="00A4270E" w:rsidP="002F5193">
      <w:pPr>
        <w:pStyle w:val="Body"/>
        <w:ind w:left="567" w:hanging="567"/>
        <w:jc w:val="both"/>
      </w:pPr>
      <w:sdt>
        <w:sdtPr>
          <w:rPr>
            <w:rFonts w:ascii="Wingdings 2" w:hAnsi="Wingdings 2"/>
            <w:sz w:val="28"/>
            <w:szCs w:val="28"/>
          </w:rPr>
          <w:id w:val="-1627927842"/>
          <w14:checkbox>
            <w14:checked w14:val="0"/>
            <w14:checkedState w14:val="2612" w14:font="MS Gothic"/>
            <w14:uncheckedState w14:val="2610" w14:font="MS Gothic"/>
          </w14:checkbox>
        </w:sdtPr>
        <w:sdtEndPr/>
        <w:sdtContent>
          <w:r w:rsidR="00FC1A9D">
            <w:rPr>
              <w:rFonts w:ascii="MS Gothic" w:eastAsia="MS Gothic" w:hAnsi="MS Gothic" w:hint="eastAsia"/>
              <w:sz w:val="28"/>
              <w:szCs w:val="28"/>
            </w:rPr>
            <w:t>☐</w:t>
          </w:r>
        </w:sdtContent>
      </w:sdt>
      <w:r w:rsidR="00FC1A9D">
        <w:rPr>
          <w:rFonts w:ascii="Wingdings 2" w:hAnsi="Wingdings 2"/>
          <w:sz w:val="28"/>
          <w:szCs w:val="28"/>
        </w:rPr>
        <w:t></w:t>
      </w:r>
      <w:r w:rsidR="000E0A01" w:rsidRPr="00FC1A9D">
        <w:rPr>
          <w:rFonts w:eastAsia="Times New Roman"/>
          <w:lang w:eastAsia="en-AU"/>
        </w:rPr>
        <w:t xml:space="preserve">Arrange for the retention of trust account records (including backup) ensuring compliance with ss 59-60 </w:t>
      </w:r>
      <w:r w:rsidR="000E0A01" w:rsidRPr="007E04EB">
        <w:rPr>
          <w:rFonts w:eastAsia="Times New Roman"/>
          <w:i/>
          <w:iCs/>
          <w:lang w:eastAsia="en-AU"/>
        </w:rPr>
        <w:t>Legal Profession Regulation 2017</w:t>
      </w:r>
      <w:r w:rsidR="000E0A01">
        <w:rPr>
          <w:rFonts w:eastAsia="Times New Roman"/>
          <w:lang w:eastAsia="en-AU"/>
        </w:rPr>
        <w:t>.</w:t>
      </w:r>
      <w:r w:rsidR="000E0A01">
        <w:t xml:space="preserve"> </w:t>
      </w:r>
    </w:p>
    <w:p w14:paraId="0A4EEDEE" w14:textId="77777777" w:rsidR="000E0A01" w:rsidRPr="000E0A01" w:rsidRDefault="000E0A01" w:rsidP="000E0A01">
      <w:pPr>
        <w:pStyle w:val="Body"/>
        <w:ind w:left="567" w:hanging="567"/>
      </w:pPr>
    </w:p>
    <w:p w14:paraId="1EB3357A" w14:textId="2FE31F1E" w:rsidR="000E0A01" w:rsidRDefault="00F66CEE" w:rsidP="000E0A01">
      <w:pPr>
        <w:pStyle w:val="Heading2"/>
      </w:pPr>
      <w:bookmarkStart w:id="0" w:name="_Toc36803086"/>
      <w:r w:rsidRPr="000E0A01">
        <w:t>QLS NOTIFICATIONS:</w:t>
      </w:r>
    </w:p>
    <w:p w14:paraId="447207B6" w14:textId="54A971A6" w:rsidR="00A32C16" w:rsidRPr="00FF5DC3" w:rsidRDefault="00A4270E" w:rsidP="002B2296">
      <w:pPr>
        <w:pStyle w:val="Body"/>
        <w:ind w:left="567" w:hanging="567"/>
        <w:rPr>
          <w:rFonts w:eastAsia="Times New Roman"/>
          <w:lang w:eastAsia="en-AU"/>
        </w:rPr>
      </w:pPr>
      <w:sdt>
        <w:sdtPr>
          <w:rPr>
            <w:rFonts w:ascii="Wingdings 2" w:hAnsi="Wingdings 2"/>
            <w:sz w:val="28"/>
            <w:szCs w:val="28"/>
          </w:rPr>
          <w:id w:val="1401794850"/>
          <w14:checkbox>
            <w14:checked w14:val="0"/>
            <w14:checkedState w14:val="2612" w14:font="MS Gothic"/>
            <w14:uncheckedState w14:val="2610" w14:font="MS Gothic"/>
          </w14:checkbox>
        </w:sdtPr>
        <w:sdtEndPr/>
        <w:sdtContent>
          <w:r w:rsidR="00A32C16">
            <w:rPr>
              <w:rFonts w:ascii="MS Gothic" w:eastAsia="MS Gothic" w:hAnsi="MS Gothic" w:hint="eastAsia"/>
              <w:sz w:val="28"/>
              <w:szCs w:val="28"/>
            </w:rPr>
            <w:t>☐</w:t>
          </w:r>
        </w:sdtContent>
      </w:sdt>
      <w:r w:rsidR="00A32C16">
        <w:rPr>
          <w:rFonts w:ascii="Wingdings 2" w:hAnsi="Wingdings 2"/>
          <w:sz w:val="28"/>
          <w:szCs w:val="28"/>
        </w:rPr>
        <w:t></w:t>
      </w:r>
      <w:r w:rsidR="000E0A01" w:rsidRPr="000E0A01">
        <w:rPr>
          <w:rFonts w:eastAsia="Times New Roman"/>
          <w:lang w:eastAsia="en-AU"/>
        </w:rPr>
        <w:t>Notify QLS (Records) of your change in contact details.</w:t>
      </w:r>
    </w:p>
    <w:p w14:paraId="659EB73E" w14:textId="06E18F47" w:rsidR="00A32C16" w:rsidRPr="00FF5DC3" w:rsidRDefault="00A4270E" w:rsidP="002F5193">
      <w:pPr>
        <w:pStyle w:val="Body"/>
        <w:ind w:left="567" w:hanging="567"/>
        <w:jc w:val="both"/>
        <w:rPr>
          <w:rFonts w:eastAsia="Times New Roman"/>
          <w:lang w:eastAsia="en-AU"/>
        </w:rPr>
      </w:pPr>
      <w:sdt>
        <w:sdtPr>
          <w:rPr>
            <w:rFonts w:ascii="Wingdings 2" w:hAnsi="Wingdings 2"/>
            <w:sz w:val="28"/>
            <w:szCs w:val="28"/>
          </w:rPr>
          <w:id w:val="-1825419325"/>
          <w14:checkbox>
            <w14:checked w14:val="0"/>
            <w14:checkedState w14:val="2612" w14:font="MS Gothic"/>
            <w14:uncheckedState w14:val="2610" w14:font="MS Gothic"/>
          </w14:checkbox>
        </w:sdtPr>
        <w:sdtEndPr/>
        <w:sdtContent>
          <w:r w:rsidR="00A32C16">
            <w:rPr>
              <w:rFonts w:ascii="MS Gothic" w:eastAsia="MS Gothic" w:hAnsi="MS Gothic" w:hint="eastAsia"/>
              <w:sz w:val="28"/>
              <w:szCs w:val="28"/>
            </w:rPr>
            <w:t>☐</w:t>
          </w:r>
        </w:sdtContent>
      </w:sdt>
      <w:r w:rsidR="00A32C16">
        <w:rPr>
          <w:rFonts w:ascii="Wingdings 2" w:hAnsi="Wingdings 2"/>
          <w:sz w:val="28"/>
          <w:szCs w:val="28"/>
        </w:rPr>
        <w:t></w:t>
      </w:r>
      <w:r w:rsidR="000E0A01" w:rsidRPr="000E0A01">
        <w:rPr>
          <w:rFonts w:eastAsia="Times New Roman"/>
          <w:lang w:eastAsia="en-AU"/>
        </w:rPr>
        <w:t xml:space="preserve">Notify QLS (Records) of who </w:t>
      </w:r>
      <w:r w:rsidR="005E471A">
        <w:rPr>
          <w:rFonts w:eastAsia="Times New Roman"/>
          <w:lang w:eastAsia="en-AU"/>
        </w:rPr>
        <w:t xml:space="preserve">has </w:t>
      </w:r>
      <w:r w:rsidR="003322E0">
        <w:rPr>
          <w:rFonts w:eastAsia="Times New Roman"/>
          <w:lang w:eastAsia="en-AU"/>
        </w:rPr>
        <w:t xml:space="preserve">retained </w:t>
      </w:r>
      <w:r w:rsidR="003322E0" w:rsidRPr="000E0A01">
        <w:rPr>
          <w:rFonts w:eastAsia="Times New Roman"/>
          <w:lang w:eastAsia="en-AU"/>
        </w:rPr>
        <w:t>any files</w:t>
      </w:r>
      <w:r w:rsidR="000E0A01" w:rsidRPr="000E0A01">
        <w:rPr>
          <w:rFonts w:eastAsia="Times New Roman"/>
          <w:lang w:eastAsia="en-AU"/>
        </w:rPr>
        <w:t xml:space="preserve"> (including archived files) and safe custody documents </w:t>
      </w:r>
      <w:r w:rsidR="005E471A">
        <w:rPr>
          <w:rFonts w:eastAsia="Times New Roman"/>
          <w:lang w:eastAsia="en-AU"/>
        </w:rPr>
        <w:t xml:space="preserve">(where these were not released to the client) </w:t>
      </w:r>
      <w:r w:rsidR="000E0A01" w:rsidRPr="000E0A01">
        <w:rPr>
          <w:rFonts w:eastAsia="Times New Roman"/>
          <w:lang w:eastAsia="en-AU"/>
        </w:rPr>
        <w:t>and contact details of the person or organisation retaining custody.</w:t>
      </w:r>
    </w:p>
    <w:p w14:paraId="16FE8C96" w14:textId="7B2A8C67" w:rsidR="00A32C16" w:rsidRDefault="00A4270E" w:rsidP="000E0A01">
      <w:pPr>
        <w:pStyle w:val="Body"/>
        <w:ind w:left="567" w:hanging="567"/>
        <w:rPr>
          <w:rFonts w:eastAsia="Times New Roman"/>
          <w:lang w:eastAsia="en-AU"/>
        </w:rPr>
      </w:pPr>
      <w:sdt>
        <w:sdtPr>
          <w:rPr>
            <w:rFonts w:ascii="Wingdings 2" w:hAnsi="Wingdings 2"/>
            <w:sz w:val="28"/>
            <w:szCs w:val="28"/>
          </w:rPr>
          <w:id w:val="-1207947335"/>
          <w14:checkbox>
            <w14:checked w14:val="0"/>
            <w14:checkedState w14:val="2612" w14:font="MS Gothic"/>
            <w14:uncheckedState w14:val="2610" w14:font="MS Gothic"/>
          </w14:checkbox>
        </w:sdtPr>
        <w:sdtEndPr/>
        <w:sdtContent>
          <w:r w:rsidR="00A32C16">
            <w:rPr>
              <w:rFonts w:ascii="MS Gothic" w:eastAsia="MS Gothic" w:hAnsi="MS Gothic" w:hint="eastAsia"/>
              <w:sz w:val="28"/>
              <w:szCs w:val="28"/>
            </w:rPr>
            <w:t>☐</w:t>
          </w:r>
        </w:sdtContent>
      </w:sdt>
      <w:r w:rsidR="00A32C16">
        <w:rPr>
          <w:rFonts w:ascii="Wingdings 2" w:hAnsi="Wingdings 2"/>
          <w:sz w:val="28"/>
          <w:szCs w:val="28"/>
        </w:rPr>
        <w:t></w:t>
      </w:r>
      <w:r w:rsidR="000E0A01" w:rsidRPr="000E0A01">
        <w:rPr>
          <w:rFonts w:eastAsia="Times New Roman"/>
          <w:lang w:eastAsia="en-AU"/>
        </w:rPr>
        <w:t>Notify QLS (Records) of the location where the above files and safe custody documents are kept.</w:t>
      </w:r>
    </w:p>
    <w:p w14:paraId="2A593644" w14:textId="77777777" w:rsidR="000E0A01" w:rsidRPr="000E0A01" w:rsidRDefault="000E0A01" w:rsidP="000E0A01">
      <w:pPr>
        <w:pStyle w:val="Body"/>
        <w:ind w:left="567" w:hanging="567"/>
        <w:rPr>
          <w:rFonts w:eastAsia="Times New Roman"/>
          <w:lang w:eastAsia="en-AU"/>
        </w:rPr>
      </w:pPr>
    </w:p>
    <w:p w14:paraId="528B77A5" w14:textId="2EC2B669" w:rsidR="000E0A01" w:rsidRDefault="00F66CEE" w:rsidP="000E0A01">
      <w:pPr>
        <w:pStyle w:val="Heading2"/>
      </w:pPr>
      <w:r w:rsidRPr="000E0A01">
        <w:t>GENERAL BUSINESS</w:t>
      </w:r>
      <w:r>
        <w:t xml:space="preserve"> </w:t>
      </w:r>
      <w:r w:rsidRPr="00FC1A9D">
        <w:t xml:space="preserve">CONSIDERATIONS: </w:t>
      </w:r>
    </w:p>
    <w:p w14:paraId="4B79DB5E" w14:textId="37D4A15C" w:rsidR="000E0A01" w:rsidRPr="00FC1A9D" w:rsidRDefault="00A4270E" w:rsidP="000E0A01">
      <w:pPr>
        <w:pStyle w:val="Body"/>
        <w:ind w:left="567" w:hanging="567"/>
        <w:rPr>
          <w:rFonts w:eastAsia="Times New Roman"/>
          <w:lang w:eastAsia="en-AU"/>
        </w:rPr>
      </w:pPr>
      <w:sdt>
        <w:sdtPr>
          <w:rPr>
            <w:rFonts w:ascii="Wingdings 2" w:hAnsi="Wingdings 2"/>
            <w:sz w:val="28"/>
            <w:szCs w:val="28"/>
          </w:rPr>
          <w:id w:val="1495063710"/>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 xml:space="preserve">Identify what assets may be sold, research selling prices and method of </w:t>
      </w:r>
      <w:proofErr w:type="gramStart"/>
      <w:r w:rsidR="000E0A01" w:rsidRPr="000E0A01">
        <w:rPr>
          <w:rFonts w:eastAsia="Times New Roman"/>
          <w:lang w:eastAsia="en-AU"/>
        </w:rPr>
        <w:t>sale.</w:t>
      </w:r>
      <w:proofErr w:type="gramEnd"/>
    </w:p>
    <w:p w14:paraId="1CE18A9B" w14:textId="527A5C57" w:rsidR="000E0A01" w:rsidRPr="00FC1A9D" w:rsidRDefault="00A4270E" w:rsidP="002F5193">
      <w:pPr>
        <w:pStyle w:val="Body"/>
        <w:ind w:left="567" w:hanging="567"/>
        <w:jc w:val="both"/>
        <w:rPr>
          <w:rFonts w:eastAsia="Times New Roman"/>
          <w:lang w:eastAsia="en-AU"/>
        </w:rPr>
      </w:pPr>
      <w:sdt>
        <w:sdtPr>
          <w:rPr>
            <w:rFonts w:ascii="Wingdings 2" w:hAnsi="Wingdings 2"/>
            <w:sz w:val="28"/>
            <w:szCs w:val="28"/>
          </w:rPr>
          <w:id w:val="-213962653"/>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 xml:space="preserve">Consider what assets you use and wish to retain that may be owned by your business entity – laptop, phone, </w:t>
      </w:r>
      <w:r w:rsidR="002F5193" w:rsidRPr="000E0A01">
        <w:rPr>
          <w:rFonts w:eastAsia="Times New Roman"/>
          <w:lang w:eastAsia="en-AU"/>
        </w:rPr>
        <w:t>and vehicle</w:t>
      </w:r>
      <w:r w:rsidR="000E0A01" w:rsidRPr="000E0A01">
        <w:rPr>
          <w:rFonts w:eastAsia="Times New Roman"/>
          <w:lang w:eastAsia="en-AU"/>
        </w:rPr>
        <w:t>. Seek financial and/or legal advice if you wish to retain these assets.</w:t>
      </w:r>
    </w:p>
    <w:p w14:paraId="138F0D8A" w14:textId="0B7D353F" w:rsidR="000E0A01" w:rsidRPr="00FC1A9D" w:rsidRDefault="00A4270E" w:rsidP="002F5193">
      <w:pPr>
        <w:pStyle w:val="Body"/>
        <w:ind w:left="567" w:hanging="567"/>
        <w:jc w:val="both"/>
        <w:rPr>
          <w:rFonts w:eastAsia="Times New Roman"/>
          <w:lang w:eastAsia="en-AU"/>
        </w:rPr>
      </w:pPr>
      <w:sdt>
        <w:sdtPr>
          <w:rPr>
            <w:rFonts w:ascii="Wingdings 2" w:hAnsi="Wingdings 2"/>
            <w:sz w:val="28"/>
            <w:szCs w:val="28"/>
          </w:rPr>
          <w:id w:val="-1952694687"/>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Pay your recurring bills and outstanding loan agreements. If you have insufficient funds to meet your liabilities speak to your accountant about bankruptcy or insolvency.</w:t>
      </w:r>
    </w:p>
    <w:p w14:paraId="72072792" w14:textId="4062F2D6" w:rsidR="000E0A01" w:rsidRPr="00FC1A9D" w:rsidRDefault="00A4270E" w:rsidP="002F5193">
      <w:pPr>
        <w:pStyle w:val="Body"/>
        <w:ind w:left="567" w:hanging="567"/>
        <w:jc w:val="both"/>
        <w:rPr>
          <w:rFonts w:eastAsia="Times New Roman"/>
          <w:lang w:eastAsia="en-AU"/>
        </w:rPr>
      </w:pPr>
      <w:sdt>
        <w:sdtPr>
          <w:rPr>
            <w:rFonts w:ascii="Wingdings 2" w:hAnsi="Wingdings 2"/>
            <w:sz w:val="28"/>
            <w:szCs w:val="28"/>
          </w:rPr>
          <w:id w:val="1590343900"/>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Notify your suppliers. What subscription services has the practice subscribed to, what are the legal practice’s on-going obligations or notice requirements for termination?</w:t>
      </w:r>
    </w:p>
    <w:p w14:paraId="1785EDF9" w14:textId="08A9945D" w:rsidR="000E0A01" w:rsidRPr="00FC1A9D" w:rsidRDefault="00A4270E" w:rsidP="000E0A01">
      <w:pPr>
        <w:pStyle w:val="Body"/>
        <w:ind w:left="567" w:hanging="567"/>
        <w:rPr>
          <w:rFonts w:eastAsia="Times New Roman"/>
          <w:lang w:eastAsia="en-AU"/>
        </w:rPr>
      </w:pPr>
      <w:sdt>
        <w:sdtPr>
          <w:rPr>
            <w:rFonts w:ascii="Wingdings 2" w:hAnsi="Wingdings 2"/>
            <w:sz w:val="28"/>
            <w:szCs w:val="28"/>
          </w:rPr>
          <w:id w:val="625280608"/>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Consider whether a notice of closing should be placed on your office door.</w:t>
      </w:r>
    </w:p>
    <w:p w14:paraId="08072C86" w14:textId="14E166BB" w:rsidR="000E0A01" w:rsidRDefault="00A4270E" w:rsidP="002F5193">
      <w:pPr>
        <w:pStyle w:val="Body"/>
        <w:ind w:left="567" w:hanging="567"/>
        <w:jc w:val="both"/>
        <w:rPr>
          <w:rFonts w:eastAsia="Times New Roman"/>
          <w:lang w:eastAsia="en-AU"/>
        </w:rPr>
      </w:pPr>
      <w:sdt>
        <w:sdtPr>
          <w:rPr>
            <w:rFonts w:ascii="Wingdings 2" w:hAnsi="Wingdings 2"/>
            <w:sz w:val="28"/>
            <w:szCs w:val="28"/>
          </w:rPr>
          <w:id w:val="-557714941"/>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Arrange disconnection of office services, electricity, internet, telephone, web hosting, domain names, redirect mail and/or close Post Office Box.</w:t>
      </w:r>
    </w:p>
    <w:p w14:paraId="1643B399" w14:textId="20F27B6B" w:rsidR="000E0A01" w:rsidRDefault="00A4270E" w:rsidP="002F5193">
      <w:pPr>
        <w:pStyle w:val="Body"/>
        <w:ind w:left="567" w:hanging="567"/>
        <w:jc w:val="both"/>
        <w:rPr>
          <w:rFonts w:eastAsia="Times New Roman"/>
          <w:lang w:eastAsia="en-AU"/>
        </w:rPr>
      </w:pPr>
      <w:sdt>
        <w:sdtPr>
          <w:rPr>
            <w:rFonts w:ascii="Wingdings 2" w:hAnsi="Wingdings 2"/>
            <w:sz w:val="28"/>
            <w:szCs w:val="28"/>
          </w:rPr>
          <w:id w:val="-723916982"/>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 xml:space="preserve">Review social media accounts, third party platform listings and website. Either remove in entirety or change messaging to </w:t>
      </w:r>
      <w:proofErr w:type="gramStart"/>
      <w:r w:rsidR="000E0A01" w:rsidRPr="000E0A01">
        <w:rPr>
          <w:rFonts w:eastAsia="Times New Roman"/>
          <w:lang w:eastAsia="en-AU"/>
        </w:rPr>
        <w:t>advise</w:t>
      </w:r>
      <w:proofErr w:type="gramEnd"/>
      <w:r w:rsidR="000E0A01" w:rsidRPr="000E0A01">
        <w:rPr>
          <w:rFonts w:eastAsia="Times New Roman"/>
          <w:lang w:eastAsia="en-AU"/>
        </w:rPr>
        <w:t xml:space="preserve"> of closure and future contact details to access archived files/safe custody etc.</w:t>
      </w:r>
    </w:p>
    <w:p w14:paraId="66D9BF42" w14:textId="4F641680" w:rsidR="0099757B" w:rsidRDefault="00A4270E" w:rsidP="002F5193">
      <w:pPr>
        <w:pStyle w:val="Body"/>
        <w:ind w:left="567" w:hanging="567"/>
        <w:jc w:val="both"/>
        <w:rPr>
          <w:rFonts w:eastAsia="Times New Roman"/>
        </w:rPr>
      </w:pPr>
      <w:sdt>
        <w:sdtPr>
          <w:rPr>
            <w:rFonts w:ascii="Wingdings 2" w:hAnsi="Wingdings 2"/>
            <w:sz w:val="28"/>
            <w:szCs w:val="28"/>
          </w:rPr>
          <w:id w:val="-2144959597"/>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Notify PEXA of closure (if you are a PEXA subscriber).</w:t>
      </w:r>
      <w:r w:rsidR="005E471A">
        <w:rPr>
          <w:rFonts w:eastAsia="Times New Roman"/>
          <w:lang w:eastAsia="en-AU"/>
        </w:rPr>
        <w:t xml:space="preserve"> For existing matters consider inviting the client’s new legal representative into the workspace before withdrawing.</w:t>
      </w:r>
    </w:p>
    <w:p w14:paraId="750C77F8" w14:textId="7A634AB1" w:rsidR="0099757B" w:rsidRPr="0099757B" w:rsidRDefault="0099757B" w:rsidP="0099757B">
      <w:pPr>
        <w:spacing w:after="0"/>
        <w:rPr>
          <w:rFonts w:cs="Arial"/>
          <w:color w:val="404040" w:themeColor="text1" w:themeTint="BF"/>
          <w:sz w:val="18"/>
          <w:szCs w:val="18"/>
          <w:lang w:eastAsia="en-US"/>
        </w:rPr>
      </w:pPr>
      <w:r>
        <w:br w:type="page"/>
      </w:r>
    </w:p>
    <w:p w14:paraId="364E29F8" w14:textId="71AA1678" w:rsidR="000E0A01" w:rsidRPr="0099757B" w:rsidRDefault="00F66CEE" w:rsidP="0099757B">
      <w:pPr>
        <w:pStyle w:val="Heading2"/>
        <w:rPr>
          <w:rFonts w:eastAsia="Times New Roman" w:cs="Arial"/>
          <w:color w:val="404040" w:themeColor="text1" w:themeTint="BF"/>
          <w:sz w:val="18"/>
          <w:szCs w:val="18"/>
        </w:rPr>
      </w:pPr>
      <w:r w:rsidRPr="000E0A01">
        <w:lastRenderedPageBreak/>
        <w:t>COMPLIANCE AND REGULATORY CONSIDERATIONS:</w:t>
      </w:r>
    </w:p>
    <w:p w14:paraId="7A2CA6D5" w14:textId="0363E1BF" w:rsidR="000E0A01" w:rsidRPr="00FC1A9D" w:rsidRDefault="00A4270E" w:rsidP="002F5193">
      <w:pPr>
        <w:pStyle w:val="Body"/>
        <w:ind w:left="567" w:hanging="567"/>
        <w:jc w:val="both"/>
        <w:rPr>
          <w:rFonts w:eastAsia="Times New Roman"/>
          <w:lang w:eastAsia="en-AU"/>
        </w:rPr>
      </w:pPr>
      <w:sdt>
        <w:sdtPr>
          <w:rPr>
            <w:rFonts w:ascii="Wingdings 2" w:hAnsi="Wingdings 2"/>
            <w:sz w:val="28"/>
            <w:szCs w:val="28"/>
          </w:rPr>
          <w:id w:val="-250972167"/>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 xml:space="preserve">Where the practice operates a trust account refer to chapters 15 to 17 of the QLS </w:t>
      </w:r>
      <w:hyperlink r:id="rId8" w:history="1">
        <w:r w:rsidR="000E0A01" w:rsidRPr="007E04EB">
          <w:rPr>
            <w:rStyle w:val="Hyperlink"/>
            <w:rFonts w:eastAsia="Times New Roman"/>
            <w:lang w:eastAsia="en-AU"/>
          </w:rPr>
          <w:t>Trust Accounting Guide</w:t>
        </w:r>
      </w:hyperlink>
      <w:r w:rsidR="000E0A01" w:rsidRPr="000E0A01">
        <w:rPr>
          <w:rFonts w:eastAsia="Times New Roman"/>
          <w:lang w:eastAsia="en-AU"/>
        </w:rPr>
        <w:t xml:space="preserve"> and consider your obligations to the financial institution where your practice’s account is held.</w:t>
      </w:r>
    </w:p>
    <w:p w14:paraId="1E0937B6" w14:textId="4FE8289D" w:rsidR="000E0A01" w:rsidRPr="00FC1A9D" w:rsidRDefault="00A4270E" w:rsidP="000E0A01">
      <w:pPr>
        <w:pStyle w:val="Body"/>
        <w:ind w:left="567" w:hanging="567"/>
        <w:rPr>
          <w:rFonts w:eastAsia="Times New Roman"/>
          <w:lang w:eastAsia="en-AU"/>
        </w:rPr>
      </w:pPr>
      <w:sdt>
        <w:sdtPr>
          <w:rPr>
            <w:rFonts w:ascii="Wingdings 2" w:hAnsi="Wingdings 2"/>
            <w:sz w:val="28"/>
            <w:szCs w:val="28"/>
          </w:rPr>
          <w:id w:val="-170269810"/>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Check the practice’s obligations in relation to employee entitlements.</w:t>
      </w:r>
    </w:p>
    <w:p w14:paraId="62AAFE2F" w14:textId="34748F3D" w:rsidR="000E0A01" w:rsidRPr="00FC1A9D" w:rsidRDefault="00A4270E" w:rsidP="002F5193">
      <w:pPr>
        <w:pStyle w:val="Body"/>
        <w:ind w:left="567" w:hanging="567"/>
        <w:jc w:val="both"/>
        <w:rPr>
          <w:rFonts w:eastAsia="Times New Roman"/>
          <w:lang w:eastAsia="en-AU"/>
        </w:rPr>
      </w:pPr>
      <w:sdt>
        <w:sdtPr>
          <w:rPr>
            <w:rFonts w:ascii="Wingdings 2" w:hAnsi="Wingdings 2"/>
            <w:sz w:val="28"/>
            <w:szCs w:val="28"/>
          </w:rPr>
          <w:id w:val="627432844"/>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Communicate with your employees and provide official notice, or payment in lieu of notice, as required.</w:t>
      </w:r>
    </w:p>
    <w:p w14:paraId="1258BA16" w14:textId="77777777" w:rsidR="000E0A01" w:rsidRDefault="00A4270E" w:rsidP="000E0A01">
      <w:pPr>
        <w:pStyle w:val="Body"/>
        <w:ind w:left="567" w:hanging="567"/>
        <w:rPr>
          <w:rFonts w:eastAsia="Times New Roman"/>
          <w:lang w:eastAsia="en-AU"/>
        </w:rPr>
      </w:pPr>
      <w:sdt>
        <w:sdtPr>
          <w:rPr>
            <w:rFonts w:ascii="Wingdings 2" w:hAnsi="Wingdings 2"/>
            <w:sz w:val="28"/>
            <w:szCs w:val="28"/>
          </w:rPr>
          <w:id w:val="-1668391943"/>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FC1A9D">
        <w:rPr>
          <w:rFonts w:eastAsia="Times New Roman"/>
          <w:lang w:eastAsia="en-AU"/>
        </w:rPr>
        <w:t>C</w:t>
      </w:r>
      <w:r w:rsidR="000E0A01" w:rsidRPr="000E0A01">
        <w:rPr>
          <w:rFonts w:eastAsia="Times New Roman"/>
          <w:lang w:eastAsia="en-AU"/>
        </w:rPr>
        <w:t>heck the practice’s obligations in relation to all leases and supply agreements.</w:t>
      </w:r>
    </w:p>
    <w:p w14:paraId="1D3FC23A" w14:textId="5078D755" w:rsidR="000E0A01" w:rsidRPr="00FC1A9D" w:rsidRDefault="00A4270E" w:rsidP="000E0A01">
      <w:pPr>
        <w:pStyle w:val="Body"/>
        <w:ind w:left="567" w:hanging="567"/>
        <w:rPr>
          <w:rFonts w:eastAsia="Times New Roman"/>
          <w:lang w:eastAsia="en-AU"/>
        </w:rPr>
      </w:pPr>
      <w:sdt>
        <w:sdtPr>
          <w:rPr>
            <w:rFonts w:ascii="Wingdings 2" w:hAnsi="Wingdings 2"/>
            <w:sz w:val="28"/>
            <w:szCs w:val="28"/>
          </w:rPr>
          <w:id w:val="-1271001317"/>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Seek advice in relation to the practice’s obligations to the ATO and/or ASIC.</w:t>
      </w:r>
    </w:p>
    <w:p w14:paraId="320ADC86" w14:textId="3499887D" w:rsidR="000E0A01" w:rsidRDefault="00A4270E" w:rsidP="000E0A01">
      <w:pPr>
        <w:pStyle w:val="Body"/>
        <w:ind w:left="567" w:hanging="567"/>
        <w:rPr>
          <w:rFonts w:eastAsia="Times New Roman"/>
          <w:lang w:eastAsia="en-AU"/>
        </w:rPr>
      </w:pPr>
      <w:sdt>
        <w:sdtPr>
          <w:rPr>
            <w:rFonts w:ascii="Wingdings 2" w:hAnsi="Wingdings 2"/>
            <w:sz w:val="28"/>
            <w:szCs w:val="28"/>
          </w:rPr>
          <w:id w:val="-699092516"/>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Cancel your ABN.</w:t>
      </w:r>
    </w:p>
    <w:p w14:paraId="65BAD605" w14:textId="18E97E34" w:rsidR="000E0A01" w:rsidRDefault="00A4270E" w:rsidP="000E0A01">
      <w:pPr>
        <w:pStyle w:val="Body"/>
        <w:ind w:left="567" w:hanging="567"/>
        <w:rPr>
          <w:rFonts w:eastAsia="Times New Roman"/>
          <w:lang w:eastAsia="en-AU"/>
        </w:rPr>
      </w:pPr>
      <w:sdt>
        <w:sdtPr>
          <w:rPr>
            <w:rFonts w:ascii="Wingdings 2" w:hAnsi="Wingdings 2"/>
            <w:sz w:val="28"/>
            <w:szCs w:val="28"/>
          </w:rPr>
          <w:id w:val="-1381392427"/>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Check with Lexon regarding run-off insurance and possible top-up insurance.</w:t>
      </w:r>
    </w:p>
    <w:p w14:paraId="4BB179BF" w14:textId="4353FE44" w:rsidR="000E0A01" w:rsidRPr="00FC1A9D" w:rsidRDefault="00A4270E" w:rsidP="000E0A01">
      <w:pPr>
        <w:pStyle w:val="Body"/>
        <w:ind w:left="567" w:hanging="567"/>
        <w:rPr>
          <w:rFonts w:eastAsia="Times New Roman"/>
          <w:lang w:eastAsia="en-AU"/>
        </w:rPr>
      </w:pPr>
      <w:sdt>
        <w:sdtPr>
          <w:rPr>
            <w:rFonts w:ascii="Wingdings 2" w:hAnsi="Wingdings 2"/>
            <w:sz w:val="28"/>
            <w:szCs w:val="28"/>
          </w:rPr>
          <w:id w:val="432097897"/>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Cancel business insurance, public liability insurance.</w:t>
      </w:r>
    </w:p>
    <w:p w14:paraId="72987EDB" w14:textId="29D801B4" w:rsidR="000E0A01" w:rsidRPr="00FC1A9D" w:rsidRDefault="00A4270E" w:rsidP="000E0A01">
      <w:pPr>
        <w:pStyle w:val="Body"/>
        <w:ind w:left="567" w:hanging="567"/>
        <w:rPr>
          <w:rFonts w:eastAsia="Times New Roman"/>
          <w:lang w:eastAsia="en-AU"/>
        </w:rPr>
      </w:pPr>
      <w:sdt>
        <w:sdtPr>
          <w:rPr>
            <w:rFonts w:ascii="Wingdings 2" w:hAnsi="Wingdings 2"/>
            <w:sz w:val="28"/>
            <w:szCs w:val="28"/>
          </w:rPr>
          <w:id w:val="-259148835"/>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Cancel any business name owned by the practice and/or deregister your company</w:t>
      </w:r>
      <w:r w:rsidR="007E04EB">
        <w:rPr>
          <w:rFonts w:eastAsia="Times New Roman"/>
          <w:lang w:eastAsia="en-AU"/>
        </w:rPr>
        <w:t>.</w:t>
      </w:r>
    </w:p>
    <w:p w14:paraId="5F479C08" w14:textId="312B59C1" w:rsidR="000E0A01" w:rsidRPr="00FC1A9D" w:rsidRDefault="00A4270E" w:rsidP="002F5193">
      <w:pPr>
        <w:pStyle w:val="Body"/>
        <w:ind w:left="567" w:hanging="567"/>
        <w:jc w:val="both"/>
        <w:rPr>
          <w:rFonts w:eastAsia="Times New Roman"/>
          <w:lang w:eastAsia="en-AU"/>
        </w:rPr>
      </w:pPr>
      <w:sdt>
        <w:sdtPr>
          <w:rPr>
            <w:rFonts w:ascii="Wingdings 2" w:hAnsi="Wingdings 2"/>
            <w:sz w:val="28"/>
            <w:szCs w:val="28"/>
          </w:rPr>
          <w:id w:val="-1693608181"/>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 xml:space="preserve">Notify the QLS at least 14 days prior to the intended closure date [s.63 (1) </w:t>
      </w:r>
      <w:r w:rsidR="000E0A01" w:rsidRPr="007E04EB">
        <w:rPr>
          <w:rFonts w:eastAsia="Times New Roman"/>
          <w:i/>
          <w:iCs/>
          <w:lang w:eastAsia="en-AU"/>
        </w:rPr>
        <w:t>Legal Profession Regulation 2007</w:t>
      </w:r>
      <w:r w:rsidR="000E0A01" w:rsidRPr="000E0A01">
        <w:rPr>
          <w:rFonts w:eastAsia="Times New Roman"/>
          <w:lang w:eastAsia="en-AU"/>
        </w:rPr>
        <w:t>)];</w:t>
      </w:r>
    </w:p>
    <w:p w14:paraId="07592D18" w14:textId="4E357431" w:rsidR="00621E49" w:rsidRPr="0099757B" w:rsidRDefault="00A4270E" w:rsidP="002F5193">
      <w:pPr>
        <w:pStyle w:val="Body"/>
        <w:ind w:left="567" w:hanging="567"/>
        <w:jc w:val="both"/>
        <w:rPr>
          <w:rFonts w:eastAsia="Times New Roman"/>
          <w:lang w:eastAsia="en-AU"/>
        </w:rPr>
      </w:pPr>
      <w:sdt>
        <w:sdtPr>
          <w:rPr>
            <w:rFonts w:ascii="Wingdings 2" w:hAnsi="Wingdings 2"/>
            <w:sz w:val="28"/>
            <w:szCs w:val="28"/>
          </w:rPr>
          <w:id w:val="-225994156"/>
          <w14:checkbox>
            <w14:checked w14:val="0"/>
            <w14:checkedState w14:val="2612" w14:font="MS Gothic"/>
            <w14:uncheckedState w14:val="2610" w14:font="MS Gothic"/>
          </w14:checkbox>
        </w:sdtPr>
        <w:sdtEndPr/>
        <w:sdtContent>
          <w:r w:rsidR="000E0A01">
            <w:rPr>
              <w:rFonts w:ascii="MS Gothic" w:eastAsia="MS Gothic" w:hAnsi="MS Gothic" w:hint="eastAsia"/>
              <w:sz w:val="28"/>
              <w:szCs w:val="28"/>
            </w:rPr>
            <w:t>☐</w:t>
          </w:r>
        </w:sdtContent>
      </w:sdt>
      <w:r w:rsidR="000E0A01">
        <w:rPr>
          <w:rFonts w:ascii="Wingdings 2" w:hAnsi="Wingdings 2"/>
          <w:sz w:val="28"/>
          <w:szCs w:val="28"/>
        </w:rPr>
        <w:t></w:t>
      </w:r>
      <w:r w:rsidR="000E0A01" w:rsidRPr="000E0A01">
        <w:rPr>
          <w:rFonts w:eastAsia="Times New Roman"/>
          <w:lang w:eastAsia="en-AU"/>
        </w:rPr>
        <w:t>Where the practice is an Incorporated Legal Practice, the corporation must give notice to the QLS within 14 days after the corporation stops engaging in legal practice (QLS form 25).</w:t>
      </w:r>
      <w:bookmarkEnd w:id="0"/>
    </w:p>
    <w:sectPr w:rsidR="00621E49" w:rsidRPr="0099757B" w:rsidSect="00F01BC0">
      <w:headerReference w:type="default" r:id="rId9"/>
      <w:footerReference w:type="default" r:id="rId10"/>
      <w:headerReference w:type="first" r:id="rId11"/>
      <w:footerReference w:type="first" r:id="rId12"/>
      <w:pgSz w:w="11906" w:h="16838"/>
      <w:pgMar w:top="1418" w:right="1440" w:bottom="1418" w:left="1440" w:header="425" w:footer="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385B" w16cex:dateUtc="2023-03-21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4E2B23" w16cid:durableId="27C438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BE8BB" w14:textId="77777777" w:rsidR="006E47E6" w:rsidRDefault="006E47E6" w:rsidP="000E3D3A">
      <w:pPr>
        <w:spacing w:after="0"/>
      </w:pPr>
      <w:r>
        <w:separator/>
      </w:r>
    </w:p>
  </w:endnote>
  <w:endnote w:type="continuationSeparator" w:id="0">
    <w:p w14:paraId="38A7CEFF" w14:textId="77777777" w:rsidR="006E47E6" w:rsidRDefault="006E47E6"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851"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CD2DEF" w14:paraId="5C177E8D" w14:textId="77777777" w:rsidTr="005C1677">
      <w:tc>
        <w:tcPr>
          <w:tcW w:w="9219" w:type="dxa"/>
          <w:shd w:val="clear" w:color="auto" w:fill="auto"/>
        </w:tcPr>
        <w:p w14:paraId="2A0EB8AC" w14:textId="1BF702E2" w:rsidR="00CD2DEF" w:rsidRPr="00207533" w:rsidRDefault="00CD2DEF" w:rsidP="0057337F">
          <w:pPr>
            <w:pStyle w:val="Body"/>
            <w:rPr>
              <w:b/>
              <w:sz w:val="16"/>
              <w:szCs w:val="16"/>
            </w:rPr>
          </w:pPr>
          <w:r w:rsidRPr="00E23EC6">
            <w:rPr>
              <w:b/>
              <w:color w:val="0F2D52"/>
              <w:sz w:val="16"/>
              <w:szCs w:val="16"/>
            </w:rPr>
            <w:t>Queensland Law Society</w:t>
          </w:r>
          <w:r w:rsidRPr="00BB40BC">
            <w:rPr>
              <w:b/>
              <w:color w:val="0F2D52"/>
              <w:sz w:val="16"/>
              <w:szCs w:val="16"/>
            </w:rPr>
            <w:t xml:space="preserve"> </w:t>
          </w:r>
          <w:r>
            <w:rPr>
              <w:b/>
              <w:color w:val="0F2D52"/>
              <w:sz w:val="16"/>
              <w:szCs w:val="16"/>
            </w:rPr>
            <w:t>|</w:t>
          </w:r>
          <w:r w:rsidRPr="00BB40BC">
            <w:rPr>
              <w:color w:val="0F2D52"/>
              <w:sz w:val="16"/>
              <w:szCs w:val="16"/>
            </w:rPr>
            <w:t xml:space="preserve"> </w:t>
          </w:r>
          <w:r w:rsidR="0057337F">
            <w:rPr>
              <w:color w:val="0F2D52"/>
              <w:sz w:val="16"/>
              <w:szCs w:val="16"/>
            </w:rPr>
            <w:t xml:space="preserve">Checklist – </w:t>
          </w:r>
          <w:r w:rsidR="002B2296" w:rsidRPr="002B2296">
            <w:rPr>
              <w:color w:val="0F2D52"/>
              <w:sz w:val="16"/>
              <w:szCs w:val="16"/>
            </w:rPr>
            <w:t>C</w:t>
          </w:r>
          <w:r w:rsidR="00444D48">
            <w:rPr>
              <w:color w:val="0F2D52"/>
              <w:sz w:val="16"/>
              <w:szCs w:val="16"/>
            </w:rPr>
            <w:t>losing a Law Practice</w:t>
          </w:r>
        </w:p>
      </w:tc>
      <w:tc>
        <w:tcPr>
          <w:tcW w:w="1413" w:type="dxa"/>
          <w:shd w:val="clear" w:color="auto" w:fill="auto"/>
        </w:tcPr>
        <w:p w14:paraId="11CF630C" w14:textId="2AAF3353" w:rsidR="00CD2DEF" w:rsidRPr="00E23EC6" w:rsidRDefault="00CD2DEF" w:rsidP="00CD2DEF">
          <w:pPr>
            <w:pStyle w:val="Body"/>
            <w:jc w:val="right"/>
            <w:rPr>
              <w:color w:val="0F2D52"/>
              <w:sz w:val="16"/>
              <w:szCs w:val="16"/>
            </w:rPr>
          </w:pPr>
          <w:r w:rsidRPr="00E23EC6">
            <w:rPr>
              <w:b/>
              <w:color w:val="0F2D52"/>
              <w:sz w:val="16"/>
              <w:szCs w:val="16"/>
            </w:rPr>
            <w:t xml:space="preserve">Page </w:t>
          </w:r>
          <w:r w:rsidRPr="00E23EC6">
            <w:rPr>
              <w:b/>
              <w:color w:val="0F2D52"/>
              <w:sz w:val="16"/>
              <w:szCs w:val="16"/>
            </w:rPr>
            <w:fldChar w:fldCharType="begin"/>
          </w:r>
          <w:r w:rsidRPr="00E23EC6">
            <w:rPr>
              <w:b/>
              <w:color w:val="0F2D52"/>
              <w:sz w:val="16"/>
              <w:szCs w:val="16"/>
            </w:rPr>
            <w:instrText xml:space="preserve"> PAGE  \* Arabic  \* MERGEFORMAT </w:instrText>
          </w:r>
          <w:r w:rsidRPr="00E23EC6">
            <w:rPr>
              <w:b/>
              <w:color w:val="0F2D52"/>
              <w:sz w:val="16"/>
              <w:szCs w:val="16"/>
            </w:rPr>
            <w:fldChar w:fldCharType="separate"/>
          </w:r>
          <w:r w:rsidR="00A4270E">
            <w:rPr>
              <w:b/>
              <w:noProof/>
              <w:color w:val="0F2D52"/>
              <w:sz w:val="16"/>
              <w:szCs w:val="16"/>
            </w:rPr>
            <w:t>1</w:t>
          </w:r>
          <w:r w:rsidRPr="00E23EC6">
            <w:rPr>
              <w:b/>
              <w:color w:val="0F2D52"/>
              <w:sz w:val="16"/>
              <w:szCs w:val="16"/>
            </w:rPr>
            <w:fldChar w:fldCharType="end"/>
          </w:r>
          <w:r w:rsidRPr="00E23EC6">
            <w:rPr>
              <w:color w:val="0F2D52"/>
              <w:sz w:val="16"/>
              <w:szCs w:val="16"/>
            </w:rPr>
            <w:t xml:space="preserve"> of </w:t>
          </w:r>
          <w:r w:rsidRPr="00E23EC6">
            <w:rPr>
              <w:noProof/>
              <w:color w:val="0F2D52"/>
              <w:sz w:val="16"/>
              <w:szCs w:val="16"/>
            </w:rPr>
            <w:fldChar w:fldCharType="begin"/>
          </w:r>
          <w:r w:rsidRPr="00E23EC6">
            <w:rPr>
              <w:noProof/>
              <w:color w:val="0F2D52"/>
              <w:sz w:val="16"/>
              <w:szCs w:val="16"/>
            </w:rPr>
            <w:instrText xml:space="preserve"> NUMPAGES  \* Arabic  \* MERGEFORMAT </w:instrText>
          </w:r>
          <w:r w:rsidRPr="00E23EC6">
            <w:rPr>
              <w:noProof/>
              <w:color w:val="0F2D52"/>
              <w:sz w:val="16"/>
              <w:szCs w:val="16"/>
            </w:rPr>
            <w:fldChar w:fldCharType="separate"/>
          </w:r>
          <w:r w:rsidR="00A4270E">
            <w:rPr>
              <w:noProof/>
              <w:color w:val="0F2D52"/>
              <w:sz w:val="16"/>
              <w:szCs w:val="16"/>
            </w:rPr>
            <w:t>3</w:t>
          </w:r>
          <w:r w:rsidRPr="00E23EC6">
            <w:rPr>
              <w:noProof/>
              <w:color w:val="0F2D52"/>
              <w:sz w:val="16"/>
              <w:szCs w:val="16"/>
            </w:rPr>
            <w:fldChar w:fldCharType="end"/>
          </w:r>
        </w:p>
      </w:tc>
    </w:tr>
  </w:tbl>
  <w:p w14:paraId="58B16F7B" w14:textId="77777777" w:rsidR="00CD2DEF" w:rsidRDefault="00CD2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CellMar>
        <w:left w:w="0" w:type="dxa"/>
        <w:right w:w="0" w:type="dxa"/>
      </w:tblCellMar>
      <w:tblLook w:val="04A0" w:firstRow="1" w:lastRow="0" w:firstColumn="1" w:lastColumn="0" w:noHBand="0" w:noVBand="1"/>
    </w:tblPr>
    <w:tblGrid>
      <w:gridCol w:w="4813"/>
      <w:gridCol w:w="5393"/>
    </w:tblGrid>
    <w:tr w:rsidR="00D91A8B" w14:paraId="652044F6" w14:textId="77777777" w:rsidTr="006D4D88">
      <w:trPr>
        <w:trHeight w:hRule="exact" w:val="113"/>
      </w:trPr>
      <w:tc>
        <w:tcPr>
          <w:tcW w:w="4813" w:type="dxa"/>
          <w:tcBorders>
            <w:top w:val="single" w:sz="4" w:space="0" w:color="BFBFBF"/>
          </w:tcBorders>
          <w:shd w:val="clear" w:color="auto" w:fill="auto"/>
        </w:tcPr>
        <w:p w14:paraId="7BB961B9" w14:textId="77777777" w:rsidR="00D91A8B" w:rsidRDefault="00D91A8B" w:rsidP="0017504F">
          <w:pPr>
            <w:pStyle w:val="Footer"/>
          </w:pPr>
        </w:p>
      </w:tc>
      <w:tc>
        <w:tcPr>
          <w:tcW w:w="5393" w:type="dxa"/>
          <w:tcBorders>
            <w:top w:val="single" w:sz="4" w:space="0" w:color="BFBFBF"/>
          </w:tcBorders>
          <w:shd w:val="clear" w:color="auto" w:fill="auto"/>
        </w:tcPr>
        <w:p w14:paraId="11E6FA62" w14:textId="77777777" w:rsidR="00D91A8B" w:rsidRDefault="00D91A8B" w:rsidP="0017504F">
          <w:pPr>
            <w:pStyle w:val="Footer"/>
          </w:pPr>
        </w:p>
      </w:tc>
    </w:tr>
    <w:tr w:rsidR="00D91A8B" w14:paraId="63F44FFA" w14:textId="77777777" w:rsidTr="006D4D88">
      <w:tc>
        <w:tcPr>
          <w:tcW w:w="4813" w:type="dxa"/>
          <w:shd w:val="clear" w:color="auto" w:fill="auto"/>
        </w:tcPr>
        <w:p w14:paraId="22027686" w14:textId="77777777" w:rsidR="00D91A8B" w:rsidRPr="00F15567" w:rsidRDefault="00D91A8B" w:rsidP="00892DC1">
          <w:pPr>
            <w:pStyle w:val="Footer"/>
            <w:rPr>
              <w:color w:val="7F7F7F"/>
            </w:rPr>
          </w:pPr>
          <w:r w:rsidRPr="00F15567">
            <w:rPr>
              <w:color w:val="7F7F7F"/>
              <w:sz w:val="16"/>
              <w:szCs w:val="16"/>
            </w:rPr>
            <w:t>Queensland Law Society | Council meeting | AGENDA</w:t>
          </w:r>
        </w:p>
      </w:tc>
      <w:tc>
        <w:tcPr>
          <w:tcW w:w="5393" w:type="dxa"/>
          <w:shd w:val="clear" w:color="auto" w:fill="auto"/>
        </w:tcPr>
        <w:p w14:paraId="5389AE66" w14:textId="1BEE8AAC" w:rsidR="00D91A8B" w:rsidRDefault="00D91A8B" w:rsidP="0017504F">
          <w:pPr>
            <w:pStyle w:val="Foote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sidR="00CD2DEF">
            <w:rPr>
              <w:noProof/>
              <w:sz w:val="16"/>
              <w:szCs w:val="16"/>
            </w:rPr>
            <w:t>2</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sidRPr="00F15567">
            <w:rPr>
              <w:noProof/>
              <w:color w:val="7F7F7F"/>
              <w:sz w:val="16"/>
              <w:szCs w:val="16"/>
            </w:rPr>
            <w:fldChar w:fldCharType="begin"/>
          </w:r>
          <w:r w:rsidRPr="00F15567">
            <w:rPr>
              <w:noProof/>
              <w:color w:val="7F7F7F"/>
              <w:sz w:val="16"/>
              <w:szCs w:val="16"/>
            </w:rPr>
            <w:instrText xml:space="preserve"> PAGEREF  Section_2  \* MERGEFORMAT </w:instrText>
          </w:r>
          <w:r w:rsidRPr="00F15567">
            <w:rPr>
              <w:noProof/>
              <w:color w:val="7F7F7F"/>
              <w:sz w:val="16"/>
              <w:szCs w:val="16"/>
            </w:rPr>
            <w:fldChar w:fldCharType="separate"/>
          </w:r>
          <w:r w:rsidR="00F2173E">
            <w:rPr>
              <w:b/>
              <w:bCs/>
              <w:noProof/>
              <w:color w:val="7F7F7F"/>
              <w:sz w:val="16"/>
              <w:szCs w:val="16"/>
              <w:lang w:val="en-US"/>
            </w:rPr>
            <w:t>Error! Bookmark not defined.</w:t>
          </w:r>
          <w:r w:rsidRPr="00F15567">
            <w:rPr>
              <w:noProof/>
              <w:color w:val="7F7F7F"/>
              <w:sz w:val="16"/>
              <w:szCs w:val="16"/>
            </w:rPr>
            <w:fldChar w:fldCharType="end"/>
          </w:r>
        </w:p>
      </w:tc>
    </w:tr>
  </w:tbl>
  <w:p w14:paraId="2EAD0A41" w14:textId="77777777" w:rsidR="00D91A8B" w:rsidRPr="00892DC1" w:rsidRDefault="00D91A8B" w:rsidP="0089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D805E" w14:textId="32CE7874" w:rsidR="006E47E6" w:rsidRPr="00F82830" w:rsidRDefault="006E47E6" w:rsidP="000E3D3A">
      <w:pPr>
        <w:spacing w:after="0"/>
      </w:pPr>
      <w:r w:rsidRPr="00F82830">
        <w:separator/>
      </w:r>
    </w:p>
  </w:footnote>
  <w:footnote w:type="continuationSeparator" w:id="0">
    <w:p w14:paraId="410C5E8C" w14:textId="77777777" w:rsidR="006E47E6" w:rsidRDefault="006E47E6" w:rsidP="000E3D3A">
      <w:pPr>
        <w:spacing w:after="0"/>
      </w:pPr>
      <w:r>
        <w:continuationSeparator/>
      </w:r>
    </w:p>
  </w:footnote>
  <w:footnote w:type="continuationNotice" w:id="1">
    <w:p w14:paraId="56443F54" w14:textId="77777777" w:rsidR="002A50B1" w:rsidRDefault="002A50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8545" w14:textId="77777777" w:rsidR="00CD2DEF" w:rsidRDefault="00CD2DEF" w:rsidP="006D4D88">
    <w:pPr>
      <w:pStyle w:val="Header"/>
    </w:pPr>
  </w:p>
  <w:p w14:paraId="52C3765E" w14:textId="77777777" w:rsidR="00CD2DEF" w:rsidRDefault="00CD2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CellMar>
        <w:left w:w="0" w:type="dxa"/>
        <w:right w:w="0" w:type="dxa"/>
      </w:tblCellMar>
      <w:tblLook w:val="04A0" w:firstRow="1" w:lastRow="0" w:firstColumn="1" w:lastColumn="0" w:noHBand="0" w:noVBand="1"/>
    </w:tblPr>
    <w:tblGrid>
      <w:gridCol w:w="2823"/>
      <w:gridCol w:w="3824"/>
      <w:gridCol w:w="1858"/>
      <w:gridCol w:w="142"/>
      <w:gridCol w:w="1559"/>
    </w:tblGrid>
    <w:tr w:rsidR="00D91A8B" w14:paraId="1EB979C1" w14:textId="77777777" w:rsidTr="006D4D88">
      <w:tc>
        <w:tcPr>
          <w:tcW w:w="2823" w:type="dxa"/>
          <w:shd w:val="clear" w:color="auto" w:fill="auto"/>
        </w:tcPr>
        <w:p w14:paraId="5D0313F5" w14:textId="77777777" w:rsidR="00D91A8B" w:rsidRDefault="004E1BC2" w:rsidP="00E0481E">
          <w:pPr>
            <w:pStyle w:val="Header"/>
            <w:spacing w:after="0"/>
          </w:pPr>
          <w:r>
            <w:rPr>
              <w:noProof/>
            </w:rPr>
            <w:drawing>
              <wp:inline distT="0" distB="0" distL="0" distR="0" wp14:anchorId="71846B2E" wp14:editId="0010B202">
                <wp:extent cx="1409700" cy="371475"/>
                <wp:effectExtent l="0" t="0" r="0" b="0"/>
                <wp:docPr id="1" name="Picture 1" descr="QLS_logo_RGB_300dpi-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S_logo_RGB_300dpi-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tc>
      <w:tc>
        <w:tcPr>
          <w:tcW w:w="5682" w:type="dxa"/>
          <w:gridSpan w:val="2"/>
          <w:shd w:val="clear" w:color="auto" w:fill="auto"/>
          <w:vAlign w:val="center"/>
        </w:tcPr>
        <w:p w14:paraId="5A21863A" w14:textId="77777777" w:rsidR="00D91A8B" w:rsidRPr="00F15567" w:rsidRDefault="00D91A8B" w:rsidP="00E0481E">
          <w:pPr>
            <w:pStyle w:val="Header"/>
            <w:spacing w:after="0"/>
            <w:jc w:val="right"/>
            <w:rPr>
              <w:color w:val="7F7F7F"/>
              <w:sz w:val="24"/>
              <w:szCs w:val="24"/>
            </w:rPr>
          </w:pPr>
          <w:r w:rsidRPr="00F15567">
            <w:rPr>
              <w:color w:val="7F7F7F"/>
              <w:sz w:val="24"/>
              <w:szCs w:val="24"/>
            </w:rPr>
            <w:t xml:space="preserve">Council meeting </w:t>
          </w:r>
        </w:p>
      </w:tc>
      <w:tc>
        <w:tcPr>
          <w:tcW w:w="142" w:type="dxa"/>
          <w:vAlign w:val="center"/>
        </w:tcPr>
        <w:p w14:paraId="5327524F" w14:textId="77777777" w:rsidR="00D91A8B" w:rsidRPr="00E0481E" w:rsidRDefault="00D91A8B" w:rsidP="00E0481E">
          <w:pPr>
            <w:pStyle w:val="Header"/>
            <w:spacing w:after="0"/>
            <w:jc w:val="center"/>
            <w:rPr>
              <w:sz w:val="24"/>
              <w:szCs w:val="24"/>
            </w:rPr>
          </w:pPr>
        </w:p>
      </w:tc>
      <w:tc>
        <w:tcPr>
          <w:tcW w:w="1559" w:type="dxa"/>
          <w:shd w:val="clear" w:color="auto" w:fill="D9D9D9"/>
          <w:vAlign w:val="center"/>
        </w:tcPr>
        <w:p w14:paraId="268D887A" w14:textId="77777777" w:rsidR="00D91A8B" w:rsidRPr="00F15567" w:rsidRDefault="00D91A8B" w:rsidP="00E0481E">
          <w:pPr>
            <w:pStyle w:val="Header"/>
            <w:spacing w:after="0"/>
            <w:jc w:val="center"/>
            <w:rPr>
              <w:color w:val="7F7F7F"/>
              <w:sz w:val="24"/>
              <w:szCs w:val="24"/>
            </w:rPr>
          </w:pPr>
          <w:r w:rsidRPr="00F15567">
            <w:rPr>
              <w:color w:val="7F7F7F"/>
              <w:sz w:val="24"/>
              <w:szCs w:val="24"/>
            </w:rPr>
            <w:t>AGENDA</w:t>
          </w:r>
        </w:p>
      </w:tc>
    </w:tr>
    <w:tr w:rsidR="00D91A8B" w14:paraId="71FC9C52" w14:textId="77777777" w:rsidTr="006D4D88">
      <w:trPr>
        <w:trHeight w:hRule="exact" w:val="170"/>
      </w:trPr>
      <w:tc>
        <w:tcPr>
          <w:tcW w:w="2823" w:type="dxa"/>
          <w:tcBorders>
            <w:bottom w:val="single" w:sz="4" w:space="0" w:color="BFBFBF"/>
          </w:tcBorders>
          <w:shd w:val="clear" w:color="auto" w:fill="auto"/>
        </w:tcPr>
        <w:p w14:paraId="4C8094E3" w14:textId="77777777" w:rsidR="00D91A8B" w:rsidRDefault="00D91A8B">
          <w:pPr>
            <w:pStyle w:val="Header"/>
          </w:pPr>
        </w:p>
      </w:tc>
      <w:tc>
        <w:tcPr>
          <w:tcW w:w="3824" w:type="dxa"/>
          <w:tcBorders>
            <w:bottom w:val="single" w:sz="4" w:space="0" w:color="BFBFBF"/>
          </w:tcBorders>
          <w:shd w:val="clear" w:color="auto" w:fill="auto"/>
        </w:tcPr>
        <w:p w14:paraId="7BDCB602" w14:textId="77777777" w:rsidR="00D91A8B" w:rsidRDefault="00D91A8B">
          <w:pPr>
            <w:pStyle w:val="Header"/>
          </w:pPr>
        </w:p>
      </w:tc>
      <w:tc>
        <w:tcPr>
          <w:tcW w:w="2000" w:type="dxa"/>
          <w:gridSpan w:val="2"/>
          <w:tcBorders>
            <w:bottom w:val="single" w:sz="4" w:space="0" w:color="BFBFBF"/>
          </w:tcBorders>
        </w:tcPr>
        <w:p w14:paraId="5D3F59FE" w14:textId="77777777" w:rsidR="00D91A8B" w:rsidRDefault="00D91A8B">
          <w:pPr>
            <w:pStyle w:val="Header"/>
          </w:pPr>
        </w:p>
      </w:tc>
      <w:tc>
        <w:tcPr>
          <w:tcW w:w="1559" w:type="dxa"/>
          <w:tcBorders>
            <w:bottom w:val="single" w:sz="4" w:space="0" w:color="BFBFBF"/>
          </w:tcBorders>
          <w:shd w:val="clear" w:color="auto" w:fill="auto"/>
        </w:tcPr>
        <w:p w14:paraId="626C5B6F" w14:textId="77777777" w:rsidR="00D91A8B" w:rsidRDefault="00D91A8B">
          <w:pPr>
            <w:pStyle w:val="Header"/>
          </w:pPr>
        </w:p>
      </w:tc>
    </w:tr>
  </w:tbl>
  <w:p w14:paraId="0305DE51" w14:textId="77777777" w:rsidR="00D91A8B" w:rsidRDefault="00D91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AEE60DC"/>
    <w:lvl w:ilvl="0">
      <w:start w:val="1"/>
      <w:numFmt w:val="lowerLetter"/>
      <w:pStyle w:val="Listletters"/>
      <w:lvlText w:val="(%1)"/>
      <w:lvlJc w:val="left"/>
      <w:pPr>
        <w:ind w:left="360" w:hanging="360"/>
      </w:pPr>
      <w:rPr>
        <w:rFonts w:hint="default"/>
      </w:rPr>
    </w:lvl>
  </w:abstractNum>
  <w:abstractNum w:abstractNumId="1" w15:restartNumberingAfterBreak="0">
    <w:nsid w:val="048812E2"/>
    <w:multiLevelType w:val="hybridMultilevel"/>
    <w:tmpl w:val="12EC3C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98D2265"/>
    <w:multiLevelType w:val="hybridMultilevel"/>
    <w:tmpl w:val="60F0366A"/>
    <w:lvl w:ilvl="0" w:tplc="52A04D38">
      <w:start w:val="1"/>
      <w:numFmt w:val="bullet"/>
      <w:lvlText w:val="•"/>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77681"/>
    <w:multiLevelType w:val="hybridMultilevel"/>
    <w:tmpl w:val="F0440FFA"/>
    <w:lvl w:ilvl="0" w:tplc="57ACF038">
      <w:start w:val="1"/>
      <w:numFmt w:val="bullet"/>
      <w:lvlText w:val=""/>
      <w:lvlJc w:val="left"/>
      <w:pPr>
        <w:ind w:left="360" w:hanging="360"/>
      </w:pPr>
      <w:rPr>
        <w:rFonts w:ascii="Webdings" w:hAnsi="Webdings" w:hint="default"/>
        <w:color w:val="5B9BD5"/>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C119B2"/>
    <w:multiLevelType w:val="hybridMultilevel"/>
    <w:tmpl w:val="45402714"/>
    <w:lvl w:ilvl="0" w:tplc="9194557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6" w15:restartNumberingAfterBreak="0">
    <w:nsid w:val="193F48AD"/>
    <w:multiLevelType w:val="hybridMultilevel"/>
    <w:tmpl w:val="D8EC6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613F31"/>
    <w:multiLevelType w:val="hybridMultilevel"/>
    <w:tmpl w:val="EA545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0221FE"/>
    <w:multiLevelType w:val="hybridMultilevel"/>
    <w:tmpl w:val="5068FCA2"/>
    <w:lvl w:ilvl="0" w:tplc="0D0ABE70">
      <w:start w:val="1"/>
      <w:numFmt w:val="bullet"/>
      <w:lvlText w:val=""/>
      <w:lvlJc w:val="left"/>
      <w:pPr>
        <w:ind w:left="1800" w:hanging="360"/>
      </w:pPr>
      <w:rPr>
        <w:rFonts w:ascii="Symbol" w:hAnsi="Symbol" w:hint="default"/>
      </w:rPr>
    </w:lvl>
    <w:lvl w:ilvl="1" w:tplc="0D0ABE7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252C57"/>
    <w:multiLevelType w:val="hybridMultilevel"/>
    <w:tmpl w:val="C20CCC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1F59A8"/>
    <w:multiLevelType w:val="hybridMultilevel"/>
    <w:tmpl w:val="A3660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646B9"/>
    <w:multiLevelType w:val="hybridMultilevel"/>
    <w:tmpl w:val="BBB82170"/>
    <w:lvl w:ilvl="0" w:tplc="5F523010">
      <w:numFmt w:val="bullet"/>
      <w:lvlText w:val=""/>
      <w:lvlJc w:val="left"/>
      <w:pPr>
        <w:ind w:left="720" w:hanging="360"/>
      </w:pPr>
      <w:rPr>
        <w:rFonts w:ascii="Symbol" w:eastAsia="Symbol" w:hAnsi="Symbol" w:cs="Symbol" w:hint="default"/>
        <w:w w:val="99"/>
        <w:sz w:val="20"/>
        <w:szCs w:val="20"/>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E6AB5"/>
    <w:multiLevelType w:val="hybridMultilevel"/>
    <w:tmpl w:val="E36C6D04"/>
    <w:lvl w:ilvl="0" w:tplc="05DABEF8">
      <w:start w:val="1"/>
      <w:numFmt w:val="decimal"/>
      <w:pStyle w:val="ListNumber"/>
      <w:lvlText w:val="%1."/>
      <w:lvlJc w:val="left"/>
      <w:pPr>
        <w:ind w:left="8441" w:hanging="360"/>
      </w:pPr>
      <w:rPr>
        <w:rFonts w:hint="default"/>
      </w:rPr>
    </w:lvl>
    <w:lvl w:ilvl="1" w:tplc="0C090019" w:tentative="1">
      <w:start w:val="1"/>
      <w:numFmt w:val="lowerLetter"/>
      <w:lvlText w:val="%2."/>
      <w:lvlJc w:val="left"/>
      <w:pPr>
        <w:ind w:left="9161" w:hanging="360"/>
      </w:pPr>
    </w:lvl>
    <w:lvl w:ilvl="2" w:tplc="0C09001B" w:tentative="1">
      <w:start w:val="1"/>
      <w:numFmt w:val="lowerRoman"/>
      <w:lvlText w:val="%3."/>
      <w:lvlJc w:val="right"/>
      <w:pPr>
        <w:ind w:left="9881" w:hanging="180"/>
      </w:pPr>
    </w:lvl>
    <w:lvl w:ilvl="3" w:tplc="0C09000F" w:tentative="1">
      <w:start w:val="1"/>
      <w:numFmt w:val="decimal"/>
      <w:lvlText w:val="%4."/>
      <w:lvlJc w:val="left"/>
      <w:pPr>
        <w:ind w:left="10601" w:hanging="360"/>
      </w:pPr>
    </w:lvl>
    <w:lvl w:ilvl="4" w:tplc="0C090019" w:tentative="1">
      <w:start w:val="1"/>
      <w:numFmt w:val="lowerLetter"/>
      <w:lvlText w:val="%5."/>
      <w:lvlJc w:val="left"/>
      <w:pPr>
        <w:ind w:left="11321" w:hanging="360"/>
      </w:pPr>
    </w:lvl>
    <w:lvl w:ilvl="5" w:tplc="0C09001B" w:tentative="1">
      <w:start w:val="1"/>
      <w:numFmt w:val="lowerRoman"/>
      <w:lvlText w:val="%6."/>
      <w:lvlJc w:val="right"/>
      <w:pPr>
        <w:ind w:left="12041" w:hanging="180"/>
      </w:pPr>
    </w:lvl>
    <w:lvl w:ilvl="6" w:tplc="0C09000F" w:tentative="1">
      <w:start w:val="1"/>
      <w:numFmt w:val="decimal"/>
      <w:lvlText w:val="%7."/>
      <w:lvlJc w:val="left"/>
      <w:pPr>
        <w:ind w:left="12761" w:hanging="360"/>
      </w:pPr>
    </w:lvl>
    <w:lvl w:ilvl="7" w:tplc="0C090019" w:tentative="1">
      <w:start w:val="1"/>
      <w:numFmt w:val="lowerLetter"/>
      <w:lvlText w:val="%8."/>
      <w:lvlJc w:val="left"/>
      <w:pPr>
        <w:ind w:left="13481" w:hanging="360"/>
      </w:pPr>
    </w:lvl>
    <w:lvl w:ilvl="8" w:tplc="0C09001B" w:tentative="1">
      <w:start w:val="1"/>
      <w:numFmt w:val="lowerRoman"/>
      <w:lvlText w:val="%9."/>
      <w:lvlJc w:val="right"/>
      <w:pPr>
        <w:ind w:left="14201" w:hanging="180"/>
      </w:pPr>
    </w:lvl>
  </w:abstractNum>
  <w:abstractNum w:abstractNumId="13" w15:restartNumberingAfterBreak="0">
    <w:nsid w:val="3487524D"/>
    <w:multiLevelType w:val="hybridMultilevel"/>
    <w:tmpl w:val="47FAB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796879"/>
    <w:multiLevelType w:val="hybridMultilevel"/>
    <w:tmpl w:val="655E1D6C"/>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E7E21FC"/>
    <w:multiLevelType w:val="hybridMultilevel"/>
    <w:tmpl w:val="EDF42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7A6F51"/>
    <w:multiLevelType w:val="hybridMultilevel"/>
    <w:tmpl w:val="F6CC9E78"/>
    <w:lvl w:ilvl="0" w:tplc="57ACF038">
      <w:start w:val="1"/>
      <w:numFmt w:val="bullet"/>
      <w:lvlText w:val=""/>
      <w:lvlJc w:val="left"/>
      <w:pPr>
        <w:ind w:left="360" w:hanging="360"/>
      </w:pPr>
      <w:rPr>
        <w:rFonts w:ascii="Webdings" w:hAnsi="Webdings" w:hint="default"/>
        <w:color w:val="5B9BD5"/>
      </w:rPr>
    </w:lvl>
    <w:lvl w:ilvl="1" w:tplc="43AED1C8">
      <w:start w:val="1"/>
      <w:numFmt w:val="bullet"/>
      <w:lvlText w:val=""/>
      <w:lvlJc w:val="left"/>
      <w:pPr>
        <w:ind w:left="1080" w:hanging="360"/>
      </w:pPr>
      <w:rPr>
        <w:rFonts w:ascii="Webdings" w:hAnsi="Webdings" w:hint="default"/>
        <w:color w:val="5B9BD5"/>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862B07"/>
    <w:multiLevelType w:val="hybridMultilevel"/>
    <w:tmpl w:val="A386B7BA"/>
    <w:lvl w:ilvl="0" w:tplc="57ACF038">
      <w:start w:val="1"/>
      <w:numFmt w:val="bullet"/>
      <w:lvlText w:val=""/>
      <w:lvlJc w:val="left"/>
      <w:pPr>
        <w:ind w:left="360" w:hanging="360"/>
      </w:pPr>
      <w:rPr>
        <w:rFonts w:ascii="Webdings" w:hAnsi="Webdings" w:hint="default"/>
        <w:color w:val="5B9BD5"/>
      </w:rPr>
    </w:lvl>
    <w:lvl w:ilvl="1" w:tplc="43AED1C8">
      <w:start w:val="1"/>
      <w:numFmt w:val="bullet"/>
      <w:lvlText w:val=""/>
      <w:lvlJc w:val="left"/>
      <w:pPr>
        <w:ind w:left="1211" w:hanging="360"/>
      </w:pPr>
      <w:rPr>
        <w:rFonts w:ascii="Webdings" w:hAnsi="Webdings" w:hint="default"/>
        <w:color w:val="5B9BD5"/>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2961350"/>
    <w:multiLevelType w:val="hybridMultilevel"/>
    <w:tmpl w:val="0A7211BA"/>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9879B7"/>
    <w:multiLevelType w:val="hybridMultilevel"/>
    <w:tmpl w:val="55B09592"/>
    <w:lvl w:ilvl="0" w:tplc="52A04D38">
      <w:start w:val="1"/>
      <w:numFmt w:val="bullet"/>
      <w:pStyle w:val="ListBullet"/>
      <w:lvlText w:val="•"/>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C65277"/>
    <w:multiLevelType w:val="multilevel"/>
    <w:tmpl w:val="77E61D12"/>
    <w:numStyleLink w:val="QLSMultilevelList"/>
  </w:abstractNum>
  <w:abstractNum w:abstractNumId="21" w15:restartNumberingAfterBreak="0">
    <w:nsid w:val="5AD0385B"/>
    <w:multiLevelType w:val="hybridMultilevel"/>
    <w:tmpl w:val="791E0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23" w15:restartNumberingAfterBreak="0">
    <w:nsid w:val="5DA26A33"/>
    <w:multiLevelType w:val="hybridMultilevel"/>
    <w:tmpl w:val="F4865152"/>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DC21CE0"/>
    <w:multiLevelType w:val="hybridMultilevel"/>
    <w:tmpl w:val="E43EE3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621A549F"/>
    <w:multiLevelType w:val="hybridMultilevel"/>
    <w:tmpl w:val="09149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7D196D"/>
    <w:multiLevelType w:val="hybridMultilevel"/>
    <w:tmpl w:val="4DAC1A8C"/>
    <w:lvl w:ilvl="0" w:tplc="FFAE48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29495D"/>
    <w:multiLevelType w:val="hybridMultilevel"/>
    <w:tmpl w:val="940897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39295D"/>
    <w:multiLevelType w:val="hybridMultilevel"/>
    <w:tmpl w:val="994A33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FD57C4"/>
    <w:multiLevelType w:val="hybridMultilevel"/>
    <w:tmpl w:val="658C4B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7B703A99"/>
    <w:multiLevelType w:val="hybridMultilevel"/>
    <w:tmpl w:val="E97A91E0"/>
    <w:lvl w:ilvl="0" w:tplc="622827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BCF0D73"/>
    <w:multiLevelType w:val="hybridMultilevel"/>
    <w:tmpl w:val="3FA2BF76"/>
    <w:lvl w:ilvl="0" w:tplc="0C090003">
      <w:start w:val="1"/>
      <w:numFmt w:val="bullet"/>
      <w:lvlText w:val="o"/>
      <w:lvlJc w:val="left"/>
      <w:pPr>
        <w:ind w:left="720"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762A2"/>
    <w:multiLevelType w:val="hybridMultilevel"/>
    <w:tmpl w:val="7A0EEC88"/>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 w:numId="2">
    <w:abstractNumId w:val="22"/>
  </w:num>
  <w:num w:numId="3">
    <w:abstractNumId w:val="5"/>
  </w:num>
  <w:num w:numId="4">
    <w:abstractNumId w:val="20"/>
  </w:num>
  <w:num w:numId="5">
    <w:abstractNumId w:val="13"/>
  </w:num>
  <w:num w:numId="6">
    <w:abstractNumId w:val="19"/>
  </w:num>
  <w:num w:numId="7">
    <w:abstractNumId w:val="11"/>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26"/>
  </w:num>
  <w:num w:numId="13">
    <w:abstractNumId w:val="12"/>
  </w:num>
  <w:num w:numId="14">
    <w:abstractNumId w:val="14"/>
  </w:num>
  <w:num w:numId="15">
    <w:abstractNumId w:val="32"/>
  </w:num>
  <w:num w:numId="16">
    <w:abstractNumId w:val="24"/>
  </w:num>
  <w:num w:numId="17">
    <w:abstractNumId w:val="23"/>
  </w:num>
  <w:num w:numId="18">
    <w:abstractNumId w:val="29"/>
  </w:num>
  <w:num w:numId="19">
    <w:abstractNumId w:val="18"/>
  </w:num>
  <w:num w:numId="20">
    <w:abstractNumId w:val="31"/>
  </w:num>
  <w:num w:numId="21">
    <w:abstractNumId w:val="25"/>
  </w:num>
  <w:num w:numId="22">
    <w:abstractNumId w:val="10"/>
  </w:num>
  <w:num w:numId="23">
    <w:abstractNumId w:val="7"/>
  </w:num>
  <w:num w:numId="24">
    <w:abstractNumId w:val="28"/>
  </w:num>
  <w:num w:numId="25">
    <w:abstractNumId w:val="30"/>
  </w:num>
  <w:num w:numId="26">
    <w:abstractNumId w:val="4"/>
  </w:num>
  <w:num w:numId="27">
    <w:abstractNumId w:val="8"/>
  </w:num>
  <w:num w:numId="28">
    <w:abstractNumId w:val="0"/>
    <w:lvlOverride w:ilvl="0">
      <w:startOverride w:val="1"/>
    </w:lvlOverride>
  </w:num>
  <w:num w:numId="29">
    <w:abstractNumId w:val="0"/>
    <w:lvlOverride w:ilvl="0">
      <w:startOverride w:val="1"/>
    </w:lvlOverride>
  </w:num>
  <w:num w:numId="30">
    <w:abstractNumId w:val="1"/>
  </w:num>
  <w:num w:numId="31">
    <w:abstractNumId w:val="6"/>
  </w:num>
  <w:num w:numId="32">
    <w:abstractNumId w:val="9"/>
  </w:num>
  <w:num w:numId="33">
    <w:abstractNumId w:val="21"/>
  </w:num>
  <w:num w:numId="34">
    <w:abstractNumId w:val="3"/>
  </w:num>
  <w:num w:numId="35">
    <w:abstractNumId w:val="17"/>
  </w:num>
  <w:num w:numId="36">
    <w:abstractNumId w:val="16"/>
  </w:num>
  <w:num w:numId="37">
    <w:abstractNumId w:val="27"/>
  </w:num>
  <w:num w:numId="38">
    <w:abstractNumId w:val="15"/>
  </w:num>
  <w:num w:numId="3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5GeErWd+Ii61AFJdFmkkMsxgaxqg4QbtKKfkJ1+OyB++Ia4O2ss0mTrUd9oQy/FyGvZhp5Y+304IHUFJtyHXg==" w:salt="qFCr4XjQe1hMvfBHHIAE8Q=="/>
  <w:defaultTabStop w:val="720"/>
  <w:characterSpacingControl w:val="doNotCompress"/>
  <w:hdrShapeDefaults>
    <o:shapedefaults v:ext="edit" spidmax="7782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6D"/>
    <w:rsid w:val="0001738A"/>
    <w:rsid w:val="00020DC2"/>
    <w:rsid w:val="0002394F"/>
    <w:rsid w:val="000301CA"/>
    <w:rsid w:val="000517B0"/>
    <w:rsid w:val="00065D91"/>
    <w:rsid w:val="00073AE4"/>
    <w:rsid w:val="000750B8"/>
    <w:rsid w:val="00076423"/>
    <w:rsid w:val="0009020C"/>
    <w:rsid w:val="000914D3"/>
    <w:rsid w:val="00092A6C"/>
    <w:rsid w:val="00093F62"/>
    <w:rsid w:val="000A3B38"/>
    <w:rsid w:val="000B74D4"/>
    <w:rsid w:val="000C1F9C"/>
    <w:rsid w:val="000E0A01"/>
    <w:rsid w:val="000E3D3A"/>
    <w:rsid w:val="000E775D"/>
    <w:rsid w:val="000F5AC4"/>
    <w:rsid w:val="00100402"/>
    <w:rsid w:val="00105BEA"/>
    <w:rsid w:val="00115EEA"/>
    <w:rsid w:val="00142A93"/>
    <w:rsid w:val="001640B7"/>
    <w:rsid w:val="00171047"/>
    <w:rsid w:val="00173896"/>
    <w:rsid w:val="0017487F"/>
    <w:rsid w:val="0017504F"/>
    <w:rsid w:val="00190132"/>
    <w:rsid w:val="00192165"/>
    <w:rsid w:val="001A0F75"/>
    <w:rsid w:val="001A66FB"/>
    <w:rsid w:val="001B06FE"/>
    <w:rsid w:val="001B2095"/>
    <w:rsid w:val="001C592F"/>
    <w:rsid w:val="001C61D0"/>
    <w:rsid w:val="001D2BDA"/>
    <w:rsid w:val="001E1660"/>
    <w:rsid w:val="001F333C"/>
    <w:rsid w:val="001F4E70"/>
    <w:rsid w:val="002120CE"/>
    <w:rsid w:val="00226AC1"/>
    <w:rsid w:val="0023686D"/>
    <w:rsid w:val="0024000A"/>
    <w:rsid w:val="002510DD"/>
    <w:rsid w:val="00252B7D"/>
    <w:rsid w:val="00253278"/>
    <w:rsid w:val="002654BC"/>
    <w:rsid w:val="00273DA0"/>
    <w:rsid w:val="00290514"/>
    <w:rsid w:val="0029260C"/>
    <w:rsid w:val="00296905"/>
    <w:rsid w:val="00296D9D"/>
    <w:rsid w:val="002A3AE6"/>
    <w:rsid w:val="002A50B1"/>
    <w:rsid w:val="002B2296"/>
    <w:rsid w:val="002B32D9"/>
    <w:rsid w:val="002B3D9E"/>
    <w:rsid w:val="002C1515"/>
    <w:rsid w:val="002C16DB"/>
    <w:rsid w:val="002C54EA"/>
    <w:rsid w:val="002D62D1"/>
    <w:rsid w:val="002E4E83"/>
    <w:rsid w:val="002F1A5B"/>
    <w:rsid w:val="002F5193"/>
    <w:rsid w:val="00305C83"/>
    <w:rsid w:val="003073CE"/>
    <w:rsid w:val="003247D7"/>
    <w:rsid w:val="00326E5E"/>
    <w:rsid w:val="00331CD7"/>
    <w:rsid w:val="003322E0"/>
    <w:rsid w:val="0036175C"/>
    <w:rsid w:val="00373651"/>
    <w:rsid w:val="00381D0A"/>
    <w:rsid w:val="00392059"/>
    <w:rsid w:val="003A3BE0"/>
    <w:rsid w:val="003A5966"/>
    <w:rsid w:val="003A5ACD"/>
    <w:rsid w:val="003B59B0"/>
    <w:rsid w:val="003C2FB3"/>
    <w:rsid w:val="003D1783"/>
    <w:rsid w:val="003E3594"/>
    <w:rsid w:val="003E62A5"/>
    <w:rsid w:val="003F28F8"/>
    <w:rsid w:val="003F655D"/>
    <w:rsid w:val="00407C66"/>
    <w:rsid w:val="0042223C"/>
    <w:rsid w:val="00423B70"/>
    <w:rsid w:val="00430775"/>
    <w:rsid w:val="004308ED"/>
    <w:rsid w:val="004321B8"/>
    <w:rsid w:val="00434C57"/>
    <w:rsid w:val="0044237A"/>
    <w:rsid w:val="00444D48"/>
    <w:rsid w:val="00450DF4"/>
    <w:rsid w:val="004553EE"/>
    <w:rsid w:val="0045629A"/>
    <w:rsid w:val="00457749"/>
    <w:rsid w:val="00457CCC"/>
    <w:rsid w:val="0046111D"/>
    <w:rsid w:val="00482A22"/>
    <w:rsid w:val="00484E97"/>
    <w:rsid w:val="00490C13"/>
    <w:rsid w:val="004A1EF8"/>
    <w:rsid w:val="004A2532"/>
    <w:rsid w:val="004A51A1"/>
    <w:rsid w:val="004C066B"/>
    <w:rsid w:val="004C0900"/>
    <w:rsid w:val="004D1368"/>
    <w:rsid w:val="004E1BC2"/>
    <w:rsid w:val="004E60B1"/>
    <w:rsid w:val="004F5021"/>
    <w:rsid w:val="004F697B"/>
    <w:rsid w:val="00502B87"/>
    <w:rsid w:val="005051A2"/>
    <w:rsid w:val="00506767"/>
    <w:rsid w:val="005226C0"/>
    <w:rsid w:val="0052358D"/>
    <w:rsid w:val="00545E07"/>
    <w:rsid w:val="005465E4"/>
    <w:rsid w:val="00546977"/>
    <w:rsid w:val="00551B81"/>
    <w:rsid w:val="00553FC5"/>
    <w:rsid w:val="0056434F"/>
    <w:rsid w:val="00567451"/>
    <w:rsid w:val="00572CC9"/>
    <w:rsid w:val="0057337F"/>
    <w:rsid w:val="005830F0"/>
    <w:rsid w:val="00591FDF"/>
    <w:rsid w:val="00596D9B"/>
    <w:rsid w:val="005A4237"/>
    <w:rsid w:val="005B5219"/>
    <w:rsid w:val="005C21E0"/>
    <w:rsid w:val="005D0DE0"/>
    <w:rsid w:val="005D3B6D"/>
    <w:rsid w:val="005D52F4"/>
    <w:rsid w:val="005D5FD2"/>
    <w:rsid w:val="005E471A"/>
    <w:rsid w:val="005E603C"/>
    <w:rsid w:val="005E6F62"/>
    <w:rsid w:val="005F4E90"/>
    <w:rsid w:val="00612F72"/>
    <w:rsid w:val="00614439"/>
    <w:rsid w:val="00614CED"/>
    <w:rsid w:val="00621E49"/>
    <w:rsid w:val="00625013"/>
    <w:rsid w:val="0062517A"/>
    <w:rsid w:val="00633963"/>
    <w:rsid w:val="00645684"/>
    <w:rsid w:val="006521D1"/>
    <w:rsid w:val="00691599"/>
    <w:rsid w:val="00696EFC"/>
    <w:rsid w:val="006D4D88"/>
    <w:rsid w:val="006E2C31"/>
    <w:rsid w:val="006E47E6"/>
    <w:rsid w:val="006E7BB9"/>
    <w:rsid w:val="006F0670"/>
    <w:rsid w:val="00720D4B"/>
    <w:rsid w:val="00721FF3"/>
    <w:rsid w:val="007234A3"/>
    <w:rsid w:val="007261D0"/>
    <w:rsid w:val="00755DED"/>
    <w:rsid w:val="00756DFD"/>
    <w:rsid w:val="00781980"/>
    <w:rsid w:val="00783555"/>
    <w:rsid w:val="00784CE5"/>
    <w:rsid w:val="00794284"/>
    <w:rsid w:val="007A6040"/>
    <w:rsid w:val="007B1F17"/>
    <w:rsid w:val="007B2150"/>
    <w:rsid w:val="007B672A"/>
    <w:rsid w:val="007C4937"/>
    <w:rsid w:val="007D33BC"/>
    <w:rsid w:val="007D3718"/>
    <w:rsid w:val="007D5DAC"/>
    <w:rsid w:val="007D635B"/>
    <w:rsid w:val="007E04EB"/>
    <w:rsid w:val="007E4612"/>
    <w:rsid w:val="007F1330"/>
    <w:rsid w:val="007F2C92"/>
    <w:rsid w:val="00817E27"/>
    <w:rsid w:val="00820E7C"/>
    <w:rsid w:val="00821F7E"/>
    <w:rsid w:val="00825FB6"/>
    <w:rsid w:val="00835FD8"/>
    <w:rsid w:val="00846394"/>
    <w:rsid w:val="0085258D"/>
    <w:rsid w:val="0085419A"/>
    <w:rsid w:val="008616EA"/>
    <w:rsid w:val="00865A61"/>
    <w:rsid w:val="00873B6F"/>
    <w:rsid w:val="00876BB1"/>
    <w:rsid w:val="00892DC1"/>
    <w:rsid w:val="008947DF"/>
    <w:rsid w:val="008A69FA"/>
    <w:rsid w:val="008A74D7"/>
    <w:rsid w:val="008B069B"/>
    <w:rsid w:val="008B16FE"/>
    <w:rsid w:val="008B2403"/>
    <w:rsid w:val="008B53FC"/>
    <w:rsid w:val="008D6BE2"/>
    <w:rsid w:val="008D7E9A"/>
    <w:rsid w:val="008E35B9"/>
    <w:rsid w:val="008F0B32"/>
    <w:rsid w:val="0091280C"/>
    <w:rsid w:val="00920278"/>
    <w:rsid w:val="00925B03"/>
    <w:rsid w:val="00930389"/>
    <w:rsid w:val="00940C11"/>
    <w:rsid w:val="00943F92"/>
    <w:rsid w:val="00947AA5"/>
    <w:rsid w:val="00962119"/>
    <w:rsid w:val="00966DB6"/>
    <w:rsid w:val="00970D66"/>
    <w:rsid w:val="00973309"/>
    <w:rsid w:val="0098082E"/>
    <w:rsid w:val="00980D92"/>
    <w:rsid w:val="009838AE"/>
    <w:rsid w:val="00992940"/>
    <w:rsid w:val="00995791"/>
    <w:rsid w:val="0099688E"/>
    <w:rsid w:val="0099757B"/>
    <w:rsid w:val="009A08EE"/>
    <w:rsid w:val="009A5997"/>
    <w:rsid w:val="009B73D6"/>
    <w:rsid w:val="009D118A"/>
    <w:rsid w:val="009D2A19"/>
    <w:rsid w:val="009D60B6"/>
    <w:rsid w:val="009D718A"/>
    <w:rsid w:val="009D7684"/>
    <w:rsid w:val="009E437B"/>
    <w:rsid w:val="009F5F68"/>
    <w:rsid w:val="00A05A01"/>
    <w:rsid w:val="00A11819"/>
    <w:rsid w:val="00A14D33"/>
    <w:rsid w:val="00A32296"/>
    <w:rsid w:val="00A32C16"/>
    <w:rsid w:val="00A348B9"/>
    <w:rsid w:val="00A4270E"/>
    <w:rsid w:val="00A524AE"/>
    <w:rsid w:val="00A72B52"/>
    <w:rsid w:val="00A73DDA"/>
    <w:rsid w:val="00A770F1"/>
    <w:rsid w:val="00A82E1D"/>
    <w:rsid w:val="00A857C7"/>
    <w:rsid w:val="00A862A1"/>
    <w:rsid w:val="00A90A27"/>
    <w:rsid w:val="00A9160C"/>
    <w:rsid w:val="00AA3021"/>
    <w:rsid w:val="00AA3ECE"/>
    <w:rsid w:val="00AB2577"/>
    <w:rsid w:val="00AB6EB8"/>
    <w:rsid w:val="00AC6A0B"/>
    <w:rsid w:val="00B164EB"/>
    <w:rsid w:val="00B23233"/>
    <w:rsid w:val="00B436E7"/>
    <w:rsid w:val="00B51406"/>
    <w:rsid w:val="00B925E5"/>
    <w:rsid w:val="00BA31EA"/>
    <w:rsid w:val="00BB00CF"/>
    <w:rsid w:val="00BB2322"/>
    <w:rsid w:val="00BB2C4B"/>
    <w:rsid w:val="00BB40BC"/>
    <w:rsid w:val="00BC1F3E"/>
    <w:rsid w:val="00BC521E"/>
    <w:rsid w:val="00BD2267"/>
    <w:rsid w:val="00BD2922"/>
    <w:rsid w:val="00BD6C35"/>
    <w:rsid w:val="00BE344E"/>
    <w:rsid w:val="00BF031D"/>
    <w:rsid w:val="00BF13D5"/>
    <w:rsid w:val="00BF63B4"/>
    <w:rsid w:val="00C06626"/>
    <w:rsid w:val="00C15BED"/>
    <w:rsid w:val="00C22544"/>
    <w:rsid w:val="00C23507"/>
    <w:rsid w:val="00C2531B"/>
    <w:rsid w:val="00C30B88"/>
    <w:rsid w:val="00C435B9"/>
    <w:rsid w:val="00C4601E"/>
    <w:rsid w:val="00C467B2"/>
    <w:rsid w:val="00C52003"/>
    <w:rsid w:val="00C615E2"/>
    <w:rsid w:val="00C63C5E"/>
    <w:rsid w:val="00C67598"/>
    <w:rsid w:val="00C76C9C"/>
    <w:rsid w:val="00CA0662"/>
    <w:rsid w:val="00CA51F7"/>
    <w:rsid w:val="00CA7FF5"/>
    <w:rsid w:val="00CB7B58"/>
    <w:rsid w:val="00CC6CF9"/>
    <w:rsid w:val="00CD2DEF"/>
    <w:rsid w:val="00CD7E43"/>
    <w:rsid w:val="00CE0F3C"/>
    <w:rsid w:val="00CE17C5"/>
    <w:rsid w:val="00CE55BF"/>
    <w:rsid w:val="00CF7518"/>
    <w:rsid w:val="00D0707A"/>
    <w:rsid w:val="00D1557A"/>
    <w:rsid w:val="00D16658"/>
    <w:rsid w:val="00D479CD"/>
    <w:rsid w:val="00D47E6E"/>
    <w:rsid w:val="00D53F13"/>
    <w:rsid w:val="00D6072E"/>
    <w:rsid w:val="00D64D9C"/>
    <w:rsid w:val="00D72FA7"/>
    <w:rsid w:val="00D745AF"/>
    <w:rsid w:val="00D834B0"/>
    <w:rsid w:val="00D85774"/>
    <w:rsid w:val="00D91A8B"/>
    <w:rsid w:val="00D9333B"/>
    <w:rsid w:val="00DA3759"/>
    <w:rsid w:val="00DA5271"/>
    <w:rsid w:val="00DA7864"/>
    <w:rsid w:val="00DB542E"/>
    <w:rsid w:val="00DD7C93"/>
    <w:rsid w:val="00E00A1A"/>
    <w:rsid w:val="00E0481E"/>
    <w:rsid w:val="00E116BD"/>
    <w:rsid w:val="00E11A96"/>
    <w:rsid w:val="00E23EC6"/>
    <w:rsid w:val="00E24924"/>
    <w:rsid w:val="00E261AB"/>
    <w:rsid w:val="00E346E4"/>
    <w:rsid w:val="00E519FF"/>
    <w:rsid w:val="00E56736"/>
    <w:rsid w:val="00E65818"/>
    <w:rsid w:val="00E6656A"/>
    <w:rsid w:val="00E73448"/>
    <w:rsid w:val="00E7448F"/>
    <w:rsid w:val="00E744DA"/>
    <w:rsid w:val="00E76AE5"/>
    <w:rsid w:val="00EA16EE"/>
    <w:rsid w:val="00EB113E"/>
    <w:rsid w:val="00EB4382"/>
    <w:rsid w:val="00EC5EC2"/>
    <w:rsid w:val="00EE1377"/>
    <w:rsid w:val="00EE3842"/>
    <w:rsid w:val="00EE7C10"/>
    <w:rsid w:val="00F002CF"/>
    <w:rsid w:val="00F01BC0"/>
    <w:rsid w:val="00F04721"/>
    <w:rsid w:val="00F05F91"/>
    <w:rsid w:val="00F12E35"/>
    <w:rsid w:val="00F15567"/>
    <w:rsid w:val="00F1615D"/>
    <w:rsid w:val="00F2173E"/>
    <w:rsid w:val="00F33A89"/>
    <w:rsid w:val="00F412C6"/>
    <w:rsid w:val="00F42518"/>
    <w:rsid w:val="00F42C52"/>
    <w:rsid w:val="00F43612"/>
    <w:rsid w:val="00F45BAC"/>
    <w:rsid w:val="00F66CEE"/>
    <w:rsid w:val="00F72750"/>
    <w:rsid w:val="00F75F2B"/>
    <w:rsid w:val="00F82830"/>
    <w:rsid w:val="00F83653"/>
    <w:rsid w:val="00F97531"/>
    <w:rsid w:val="00FA0B20"/>
    <w:rsid w:val="00FA7D33"/>
    <w:rsid w:val="00FC1A9D"/>
    <w:rsid w:val="00FC53B2"/>
    <w:rsid w:val="00FD56EB"/>
    <w:rsid w:val="00FD5A59"/>
    <w:rsid w:val="00FD7B26"/>
    <w:rsid w:val="00FE248F"/>
    <w:rsid w:val="00FE281F"/>
    <w:rsid w:val="00FE4CC7"/>
    <w:rsid w:val="00FF2155"/>
    <w:rsid w:val="00FF2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5BE844B"/>
  <w15:chartTrackingRefBased/>
  <w15:docId w15:val="{4D6A50F8-E14B-42B6-95DB-0585CE6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E97"/>
    <w:pPr>
      <w:spacing w:after="120"/>
    </w:pPr>
    <w:rPr>
      <w:lang w:val="en-AU" w:eastAsia="en-AU"/>
    </w:rPr>
  </w:style>
  <w:style w:type="paragraph" w:styleId="Heading1">
    <w:name w:val="heading 1"/>
    <w:basedOn w:val="Normal"/>
    <w:next w:val="Normal"/>
    <w:link w:val="Heading1Char"/>
    <w:uiPriority w:val="1"/>
    <w:qFormat/>
    <w:rsid w:val="008A69FA"/>
    <w:pPr>
      <w:keepNext/>
      <w:outlineLvl w:val="0"/>
    </w:pPr>
    <w:rPr>
      <w:rFonts w:ascii="Arial Bold" w:hAnsi="Arial Bold"/>
      <w:b/>
      <w:bCs/>
      <w:caps/>
      <w:color w:val="0F2D52"/>
      <w:kern w:val="32"/>
      <w:sz w:val="52"/>
      <w:szCs w:val="32"/>
    </w:rPr>
  </w:style>
  <w:style w:type="paragraph" w:styleId="Heading2">
    <w:name w:val="heading 2"/>
    <w:basedOn w:val="Normal"/>
    <w:next w:val="Normal"/>
    <w:link w:val="Heading2Char"/>
    <w:uiPriority w:val="2"/>
    <w:qFormat/>
    <w:rsid w:val="00296905"/>
    <w:pPr>
      <w:keepNext/>
      <w:spacing w:before="120"/>
      <w:outlineLvl w:val="1"/>
    </w:pPr>
    <w:rPr>
      <w:rFonts w:eastAsiaTheme="minorHAnsi"/>
      <w:b/>
      <w:bCs/>
      <w:iCs/>
      <w:color w:val="72B1C8"/>
      <w:sz w:val="28"/>
      <w:szCs w:val="28"/>
    </w:rPr>
  </w:style>
  <w:style w:type="paragraph" w:styleId="Heading3">
    <w:name w:val="heading 3"/>
    <w:basedOn w:val="Normal"/>
    <w:next w:val="Normal"/>
    <w:link w:val="Heading3Char"/>
    <w:uiPriority w:val="3"/>
    <w:qFormat/>
    <w:rsid w:val="00296905"/>
    <w:pPr>
      <w:keepNext/>
      <w:spacing w:before="240" w:line="259" w:lineRule="auto"/>
      <w:outlineLvl w:val="2"/>
    </w:pPr>
    <w:rPr>
      <w:b/>
      <w:bCs/>
      <w:color w:val="0F2D52"/>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D85774"/>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1"/>
    <w:rsid w:val="008A69FA"/>
    <w:rPr>
      <w:rFonts w:ascii="Arial Bold" w:hAnsi="Arial Bold"/>
      <w:b/>
      <w:bCs/>
      <w:caps/>
      <w:color w:val="0F2D52"/>
      <w:kern w:val="32"/>
      <w:sz w:val="52"/>
      <w:szCs w:val="32"/>
      <w:lang w:val="en-AU" w:eastAsia="en-AU"/>
    </w:rPr>
  </w:style>
  <w:style w:type="character" w:customStyle="1" w:styleId="Heading2Char">
    <w:name w:val="Heading 2 Char"/>
    <w:link w:val="Heading2"/>
    <w:uiPriority w:val="2"/>
    <w:rsid w:val="00296905"/>
    <w:rPr>
      <w:rFonts w:eastAsiaTheme="minorHAnsi"/>
      <w:b/>
      <w:bCs/>
      <w:iCs/>
      <w:color w:val="72B1C8"/>
      <w:sz w:val="28"/>
      <w:szCs w:val="28"/>
      <w:lang w:val="en-AU" w:eastAsia="en-AU"/>
    </w:rPr>
  </w:style>
  <w:style w:type="character" w:styleId="Strong">
    <w:name w:val="Strong"/>
    <w:uiPriority w:val="5"/>
    <w:qFormat/>
    <w:rsid w:val="00E76AE5"/>
    <w:rPr>
      <w:b/>
      <w:bCs/>
    </w:rPr>
  </w:style>
  <w:style w:type="character" w:styleId="Emphasis">
    <w:name w:val="Emphasis"/>
    <w:uiPriority w:val="4"/>
    <w:qFormat/>
    <w:rsid w:val="00E76AE5"/>
    <w:rPr>
      <w:i/>
      <w:iCs/>
    </w:rPr>
  </w:style>
  <w:style w:type="paragraph" w:styleId="NoSpacing">
    <w:name w:val="No Spacing"/>
    <w:link w:val="NoSpacingChar"/>
    <w:uiPriority w:val="99"/>
    <w:rsid w:val="00F412C6"/>
    <w:rPr>
      <w:lang w:val="en-AU" w:eastAsia="en-AU"/>
    </w:rPr>
  </w:style>
  <w:style w:type="paragraph" w:styleId="ListBullet">
    <w:name w:val="List Bullet"/>
    <w:basedOn w:val="Body"/>
    <w:uiPriority w:val="19"/>
    <w:qFormat/>
    <w:rsid w:val="00F12E35"/>
    <w:pPr>
      <w:numPr>
        <w:numId w:val="6"/>
      </w:numPr>
    </w:pPr>
    <w:rPr>
      <w:lang w:val="en-US"/>
    </w:rPr>
  </w:style>
  <w:style w:type="paragraph" w:styleId="ListNumber">
    <w:name w:val="List Number"/>
    <w:basedOn w:val="Body"/>
    <w:link w:val="ListNumberChar"/>
    <w:uiPriority w:val="20"/>
    <w:qFormat/>
    <w:rsid w:val="00457CCC"/>
    <w:pPr>
      <w:numPr>
        <w:numId w:val="13"/>
      </w:numPr>
    </w:pPr>
    <w:rPr>
      <w:lang w:val="en-US"/>
    </w:rPr>
  </w:style>
  <w:style w:type="character" w:customStyle="1" w:styleId="Heading3Char">
    <w:name w:val="Heading 3 Char"/>
    <w:link w:val="Heading3"/>
    <w:uiPriority w:val="3"/>
    <w:rsid w:val="00296905"/>
    <w:rPr>
      <w:b/>
      <w:bCs/>
      <w:color w:val="0F2D52"/>
      <w:sz w:val="22"/>
      <w:szCs w:val="26"/>
      <w:lang w:eastAsia="en-AU"/>
    </w:rPr>
  </w:style>
  <w:style w:type="paragraph" w:customStyle="1" w:styleId="NumberedHeading2">
    <w:name w:val="Numbered Heading 2"/>
    <w:basedOn w:val="Normal"/>
    <w:next w:val="Normal"/>
    <w:link w:val="NumberedHeading2Char"/>
    <w:uiPriority w:val="7"/>
    <w:qFormat/>
    <w:rsid w:val="00A73DDA"/>
    <w:pPr>
      <w:numPr>
        <w:ilvl w:val="1"/>
        <w:numId w:val="4"/>
      </w:numPr>
      <w:spacing w:before="240"/>
    </w:pPr>
    <w:rPr>
      <w:b/>
      <w:sz w:val="24"/>
    </w:rPr>
  </w:style>
  <w:style w:type="numbering" w:customStyle="1" w:styleId="QLSMultilevelList">
    <w:name w:val="QLS Multilevel List"/>
    <w:uiPriority w:val="99"/>
    <w:rsid w:val="00A73DDA"/>
    <w:pPr>
      <w:numPr>
        <w:numId w:val="2"/>
      </w:numPr>
    </w:pPr>
  </w:style>
  <w:style w:type="character" w:customStyle="1" w:styleId="NumberedHeading2Char">
    <w:name w:val="Numbered Heading 2 Char"/>
    <w:link w:val="NumberedHeading2"/>
    <w:uiPriority w:val="7"/>
    <w:rsid w:val="00A73DDA"/>
    <w:rPr>
      <w:b/>
      <w:sz w:val="24"/>
      <w:lang w:val="en-AU" w:eastAsia="en-AU"/>
    </w:rPr>
  </w:style>
  <w:style w:type="paragraph" w:styleId="Header">
    <w:name w:val="header"/>
    <w:basedOn w:val="Normal"/>
    <w:link w:val="HeaderChar"/>
    <w:uiPriority w:val="99"/>
    <w:semiHidden/>
    <w:rsid w:val="00BF63B4"/>
    <w:pPr>
      <w:tabs>
        <w:tab w:val="center" w:pos="4513"/>
        <w:tab w:val="right" w:pos="9026"/>
      </w:tabs>
    </w:pPr>
    <w:rPr>
      <w:sz w:val="16"/>
    </w:rPr>
  </w:style>
  <w:style w:type="character" w:customStyle="1" w:styleId="HeaderChar">
    <w:name w:val="Header Char"/>
    <w:link w:val="Header"/>
    <w:uiPriority w:val="99"/>
    <w:semiHidden/>
    <w:rsid w:val="00BF63B4"/>
    <w:rPr>
      <w:sz w:val="16"/>
    </w:rPr>
  </w:style>
  <w:style w:type="paragraph" w:styleId="Footer">
    <w:name w:val="footer"/>
    <w:basedOn w:val="Normal"/>
    <w:link w:val="FooterChar"/>
    <w:uiPriority w:val="99"/>
    <w:semiHidden/>
    <w:rsid w:val="000E3D3A"/>
    <w:pPr>
      <w:tabs>
        <w:tab w:val="center" w:pos="4513"/>
        <w:tab w:val="right" w:pos="9026"/>
      </w:tabs>
    </w:pPr>
  </w:style>
  <w:style w:type="character" w:customStyle="1" w:styleId="FooterChar">
    <w:name w:val="Footer Char"/>
    <w:basedOn w:val="DefaultParagraphFont"/>
    <w:link w:val="Footer"/>
    <w:uiPriority w:val="99"/>
    <w:semiHidden/>
    <w:rsid w:val="00BF63B4"/>
  </w:style>
  <w:style w:type="table" w:customStyle="1" w:styleId="QLSTable2">
    <w:name w:val="QLS Table 2"/>
    <w:basedOn w:val="QLSTable"/>
    <w:uiPriority w:val="99"/>
    <w:rsid w:val="00C4601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9D118A"/>
    <w:pPr>
      <w:spacing w:after="120"/>
    </w:pPr>
    <w:rPr>
      <w:sz w:val="18"/>
      <w:szCs w:val="18"/>
      <w:lang w:val="en-AU" w:eastAsia="en-AU"/>
    </w:rPr>
  </w:style>
  <w:style w:type="table" w:customStyle="1" w:styleId="QLSTable3">
    <w:name w:val="QLS Table 3"/>
    <w:basedOn w:val="QLSTable"/>
    <w:uiPriority w:val="99"/>
    <w:rsid w:val="00943F92"/>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4F697B"/>
    <w:pPr>
      <w:spacing w:after="0"/>
    </w:pPr>
    <w:rPr>
      <w:rFonts w:ascii="Tahoma" w:hAnsi="Tahoma" w:cs="Tahoma"/>
      <w:sz w:val="16"/>
      <w:szCs w:val="16"/>
    </w:rPr>
  </w:style>
  <w:style w:type="character" w:customStyle="1" w:styleId="BalloonTextChar">
    <w:name w:val="Balloon Text Char"/>
    <w:link w:val="BalloonText"/>
    <w:uiPriority w:val="99"/>
    <w:semiHidden/>
    <w:rsid w:val="004F697B"/>
    <w:rPr>
      <w:rFonts w:ascii="Tahoma" w:hAnsi="Tahoma" w:cs="Tahoma"/>
      <w:sz w:val="16"/>
      <w:szCs w:val="16"/>
    </w:rPr>
  </w:style>
  <w:style w:type="paragraph" w:customStyle="1" w:styleId="NumberedHeading1">
    <w:name w:val="Numbered Heading 1"/>
    <w:basedOn w:val="Normal"/>
    <w:next w:val="Normal"/>
    <w:uiPriority w:val="6"/>
    <w:qFormat/>
    <w:rsid w:val="00A73DDA"/>
    <w:pPr>
      <w:numPr>
        <w:numId w:val="4"/>
      </w:numPr>
      <w:spacing w:before="720"/>
    </w:pPr>
    <w:rPr>
      <w:b/>
      <w:sz w:val="32"/>
    </w:rPr>
  </w:style>
  <w:style w:type="character" w:customStyle="1" w:styleId="NoSpacingChar">
    <w:name w:val="No Spacing Char"/>
    <w:link w:val="NoSpacing"/>
    <w:uiPriority w:val="99"/>
    <w:rsid w:val="00EB4382"/>
  </w:style>
  <w:style w:type="paragraph" w:customStyle="1" w:styleId="Style1">
    <w:name w:val="Style1"/>
    <w:basedOn w:val="Normal"/>
    <w:next w:val="Normal"/>
    <w:link w:val="Style1Char"/>
    <w:semiHidden/>
    <w:rsid w:val="00A82E1D"/>
    <w:pPr>
      <w:numPr>
        <w:ilvl w:val="1"/>
        <w:numId w:val="3"/>
      </w:numPr>
    </w:pPr>
  </w:style>
  <w:style w:type="paragraph" w:styleId="TOC1">
    <w:name w:val="toc 1"/>
    <w:basedOn w:val="Normal"/>
    <w:next w:val="Normal"/>
    <w:autoRedefine/>
    <w:uiPriority w:val="39"/>
    <w:qFormat/>
    <w:rsid w:val="00892DC1"/>
    <w:pPr>
      <w:tabs>
        <w:tab w:val="left" w:pos="454"/>
        <w:tab w:val="right" w:leader="dot" w:pos="9639"/>
      </w:tabs>
    </w:pPr>
    <w:rPr>
      <w:b/>
      <w:noProof/>
    </w:rPr>
  </w:style>
  <w:style w:type="character" w:customStyle="1" w:styleId="Style1Char">
    <w:name w:val="Style1 Char"/>
    <w:link w:val="Style1"/>
    <w:semiHidden/>
    <w:rsid w:val="00A82E1D"/>
    <w:rPr>
      <w:lang w:val="en-AU" w:eastAsia="en-AU"/>
    </w:rPr>
  </w:style>
  <w:style w:type="paragraph" w:styleId="TOC2">
    <w:name w:val="toc 2"/>
    <w:basedOn w:val="TOC1"/>
    <w:next w:val="Normal"/>
    <w:autoRedefine/>
    <w:uiPriority w:val="39"/>
    <w:qFormat/>
    <w:rsid w:val="00821F7E"/>
    <w:pPr>
      <w:tabs>
        <w:tab w:val="clear" w:pos="454"/>
        <w:tab w:val="left" w:pos="1021"/>
      </w:tabs>
      <w:ind w:left="454"/>
    </w:pPr>
    <w:rPr>
      <w:b w:val="0"/>
    </w:rPr>
  </w:style>
  <w:style w:type="character" w:styleId="Hyperlink">
    <w:name w:val="Hyperlink"/>
    <w:unhideWhenUsed/>
    <w:rsid w:val="00EA16EE"/>
    <w:rPr>
      <w:color w:val="0F2D52"/>
      <w:u w:val="single"/>
    </w:rPr>
  </w:style>
  <w:style w:type="paragraph" w:customStyle="1" w:styleId="NumberedHeading3">
    <w:name w:val="Numbered Heading 3"/>
    <w:basedOn w:val="NumberedHeading2"/>
    <w:next w:val="Normal"/>
    <w:link w:val="NumberedHeading3Char"/>
    <w:uiPriority w:val="8"/>
    <w:qFormat/>
    <w:rsid w:val="00A73DDA"/>
    <w:pPr>
      <w:numPr>
        <w:ilvl w:val="2"/>
      </w:numPr>
    </w:pPr>
    <w:rPr>
      <w:b w:val="0"/>
      <w:i/>
      <w:sz w:val="20"/>
    </w:rPr>
  </w:style>
  <w:style w:type="paragraph" w:customStyle="1" w:styleId="IndentedNormal">
    <w:name w:val="Indented Normal"/>
    <w:basedOn w:val="Normal"/>
    <w:next w:val="Normal"/>
    <w:link w:val="IndentedNormalChar"/>
    <w:semiHidden/>
    <w:qFormat/>
    <w:rsid w:val="0036175C"/>
  </w:style>
  <w:style w:type="character" w:customStyle="1" w:styleId="NumberedHeading3Char">
    <w:name w:val="Numbered Heading 3 Char"/>
    <w:link w:val="NumberedHeading3"/>
    <w:uiPriority w:val="8"/>
    <w:rsid w:val="00A73DDA"/>
    <w:rPr>
      <w:i/>
      <w:lang w:val="en-AU" w:eastAsia="en-AU"/>
    </w:rPr>
  </w:style>
  <w:style w:type="character" w:customStyle="1" w:styleId="IndentedNormalChar">
    <w:name w:val="Indented Normal Char"/>
    <w:basedOn w:val="DefaultParagraphFont"/>
    <w:link w:val="IndentedNormal"/>
    <w:semiHidden/>
    <w:rsid w:val="00A82E1D"/>
  </w:style>
  <w:style w:type="paragraph" w:styleId="TOCHeading">
    <w:name w:val="TOC Heading"/>
    <w:basedOn w:val="Heading1"/>
    <w:next w:val="Normal"/>
    <w:uiPriority w:val="39"/>
    <w:semiHidden/>
    <w:unhideWhenUsed/>
    <w:qFormat/>
    <w:rsid w:val="001C592F"/>
    <w:pPr>
      <w:keepLines/>
      <w:spacing w:before="480" w:after="0" w:line="276" w:lineRule="auto"/>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qFormat/>
    <w:rsid w:val="00434C57"/>
    <w:pPr>
      <w:tabs>
        <w:tab w:val="clear" w:pos="1021"/>
        <w:tab w:val="left" w:pos="1814"/>
      </w:tabs>
      <w:spacing w:after="100" w:line="276" w:lineRule="auto"/>
      <w:ind w:left="1021"/>
    </w:pPr>
    <w:rPr>
      <w:rFonts w:eastAsia="MS Mincho" w:cs="Arial"/>
      <w:szCs w:val="22"/>
      <w:lang w:val="en-US" w:eastAsia="ja-JP"/>
    </w:rPr>
  </w:style>
  <w:style w:type="paragraph" w:customStyle="1" w:styleId="BasicParagraph">
    <w:name w:val="[Basic Paragraph]"/>
    <w:basedOn w:val="Normal"/>
    <w:uiPriority w:val="99"/>
    <w:rsid w:val="00E23EC6"/>
    <w:pPr>
      <w:autoSpaceDE w:val="0"/>
      <w:autoSpaceDN w:val="0"/>
      <w:adjustRightInd w:val="0"/>
      <w:spacing w:after="0" w:line="288" w:lineRule="auto"/>
      <w:textAlignment w:val="center"/>
    </w:pPr>
    <w:rPr>
      <w:rFonts w:ascii="Minion Pro" w:hAnsi="Minion Pro" w:cs="Minion Pro"/>
      <w:color w:val="000000"/>
      <w:sz w:val="24"/>
      <w:szCs w:val="24"/>
      <w:lang w:val="en-US" w:eastAsia="en-US"/>
    </w:rPr>
  </w:style>
  <w:style w:type="paragraph" w:customStyle="1" w:styleId="Body">
    <w:name w:val="Body"/>
    <w:basedOn w:val="Normal"/>
    <w:link w:val="BodyChar"/>
    <w:qFormat/>
    <w:rsid w:val="008D6BE2"/>
    <w:pPr>
      <w:spacing w:line="259" w:lineRule="auto"/>
    </w:pPr>
    <w:rPr>
      <w:rFonts w:eastAsiaTheme="minorHAnsi" w:cs="Arial"/>
      <w:color w:val="404040" w:themeColor="text1" w:themeTint="BF"/>
      <w:sz w:val="18"/>
      <w:szCs w:val="18"/>
      <w:lang w:eastAsia="en-US"/>
    </w:rPr>
  </w:style>
  <w:style w:type="character" w:customStyle="1" w:styleId="BodyChar">
    <w:name w:val="Body Char"/>
    <w:link w:val="Body"/>
    <w:rsid w:val="008D6BE2"/>
    <w:rPr>
      <w:rFonts w:eastAsiaTheme="minorHAnsi" w:cs="Arial"/>
      <w:color w:val="404040" w:themeColor="text1" w:themeTint="BF"/>
      <w:sz w:val="18"/>
      <w:szCs w:val="18"/>
      <w:lang w:val="en-AU"/>
    </w:rPr>
  </w:style>
  <w:style w:type="character" w:customStyle="1" w:styleId="UnresolvedMention1">
    <w:name w:val="Unresolved Mention1"/>
    <w:basedOn w:val="DefaultParagraphFont"/>
    <w:uiPriority w:val="99"/>
    <w:semiHidden/>
    <w:unhideWhenUsed/>
    <w:rsid w:val="002510DD"/>
    <w:rPr>
      <w:color w:val="605E5C"/>
      <w:shd w:val="clear" w:color="auto" w:fill="E1DFDD"/>
    </w:rPr>
  </w:style>
  <w:style w:type="character" w:styleId="CommentReference">
    <w:name w:val="annotation reference"/>
    <w:basedOn w:val="DefaultParagraphFont"/>
    <w:rsid w:val="00EA16EE"/>
    <w:rPr>
      <w:sz w:val="16"/>
      <w:szCs w:val="16"/>
    </w:rPr>
  </w:style>
  <w:style w:type="paragraph" w:styleId="CommentText">
    <w:name w:val="annotation text"/>
    <w:basedOn w:val="Normal"/>
    <w:link w:val="CommentTextChar"/>
    <w:rsid w:val="00EA16EE"/>
    <w:pPr>
      <w:spacing w:after="0"/>
    </w:pPr>
    <w:rPr>
      <w:rFonts w:ascii="Arial Narrow" w:hAnsi="Arial Narrow"/>
      <w:lang w:eastAsia="en-US"/>
    </w:rPr>
  </w:style>
  <w:style w:type="character" w:customStyle="1" w:styleId="CommentTextChar">
    <w:name w:val="Comment Text Char"/>
    <w:basedOn w:val="DefaultParagraphFont"/>
    <w:link w:val="CommentText"/>
    <w:rsid w:val="00EA16EE"/>
    <w:rPr>
      <w:rFonts w:ascii="Arial Narrow" w:hAnsi="Arial Narrow"/>
      <w:lang w:val="en-AU"/>
    </w:rPr>
  </w:style>
  <w:style w:type="paragraph" w:styleId="CommentSubject">
    <w:name w:val="annotation subject"/>
    <w:basedOn w:val="CommentText"/>
    <w:next w:val="CommentText"/>
    <w:link w:val="CommentSubjectChar"/>
    <w:uiPriority w:val="99"/>
    <w:semiHidden/>
    <w:unhideWhenUsed/>
    <w:rsid w:val="00EA16EE"/>
    <w:pPr>
      <w:spacing w:after="120"/>
    </w:pPr>
    <w:rPr>
      <w:rFonts w:ascii="Arial" w:hAnsi="Arial"/>
      <w:b/>
      <w:bCs/>
      <w:lang w:eastAsia="en-AU"/>
    </w:rPr>
  </w:style>
  <w:style w:type="character" w:customStyle="1" w:styleId="CommentSubjectChar">
    <w:name w:val="Comment Subject Char"/>
    <w:basedOn w:val="CommentTextChar"/>
    <w:link w:val="CommentSubject"/>
    <w:uiPriority w:val="99"/>
    <w:semiHidden/>
    <w:rsid w:val="00EA16EE"/>
    <w:rPr>
      <w:rFonts w:ascii="Arial Narrow" w:hAnsi="Arial Narrow"/>
      <w:b/>
      <w:bCs/>
      <w:lang w:val="en-AU" w:eastAsia="en-AU"/>
    </w:rPr>
  </w:style>
  <w:style w:type="paragraph" w:customStyle="1" w:styleId="Listletters">
    <w:name w:val="List letters"/>
    <w:basedOn w:val="ListNumber"/>
    <w:link w:val="ListlettersChar"/>
    <w:qFormat/>
    <w:rsid w:val="00457CCC"/>
    <w:pPr>
      <w:numPr>
        <w:numId w:val="1"/>
      </w:numPr>
      <w:ind w:left="284" w:hanging="284"/>
    </w:pPr>
  </w:style>
  <w:style w:type="character" w:customStyle="1" w:styleId="ListNumberChar">
    <w:name w:val="List Number Char"/>
    <w:basedOn w:val="BodyChar"/>
    <w:link w:val="ListNumber"/>
    <w:uiPriority w:val="20"/>
    <w:rsid w:val="00457CCC"/>
    <w:rPr>
      <w:rFonts w:eastAsiaTheme="minorHAnsi" w:cs="Arial"/>
      <w:color w:val="404040" w:themeColor="text1" w:themeTint="BF"/>
      <w:sz w:val="18"/>
      <w:szCs w:val="18"/>
      <w:lang w:val="en-AU"/>
    </w:rPr>
  </w:style>
  <w:style w:type="character" w:customStyle="1" w:styleId="ListlettersChar">
    <w:name w:val="List letters Char"/>
    <w:basedOn w:val="ListNumberChar"/>
    <w:link w:val="Listletters"/>
    <w:rsid w:val="00457CCC"/>
    <w:rPr>
      <w:rFonts w:eastAsiaTheme="minorHAnsi" w:cs="Arial"/>
      <w:color w:val="404040" w:themeColor="text1" w:themeTint="BF"/>
      <w:sz w:val="18"/>
      <w:szCs w:val="18"/>
      <w:lang w:val="en-AU"/>
    </w:rPr>
  </w:style>
  <w:style w:type="paragraph" w:styleId="ListParagraph">
    <w:name w:val="List Paragraph"/>
    <w:basedOn w:val="Normal"/>
    <w:uiPriority w:val="34"/>
    <w:qFormat/>
    <w:rsid w:val="008616EA"/>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4A2532"/>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74D7"/>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5684"/>
    <w:rPr>
      <w:color w:val="808080"/>
    </w:rPr>
  </w:style>
  <w:style w:type="paragraph" w:styleId="FootnoteText">
    <w:name w:val="footnote text"/>
    <w:basedOn w:val="Normal"/>
    <w:link w:val="FootnoteTextChar"/>
    <w:uiPriority w:val="99"/>
    <w:semiHidden/>
    <w:unhideWhenUsed/>
    <w:rsid w:val="009E437B"/>
    <w:pPr>
      <w:spacing w:after="0"/>
    </w:pPr>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semiHidden/>
    <w:rsid w:val="009E437B"/>
    <w:rPr>
      <w:rFonts w:asciiTheme="minorHAnsi" w:eastAsiaTheme="minorHAnsi" w:hAnsiTheme="minorHAnsi" w:cstheme="minorBidi"/>
      <w:lang w:val="en-AU"/>
    </w:rPr>
  </w:style>
  <w:style w:type="character" w:styleId="FootnoteReference">
    <w:name w:val="footnote reference"/>
    <w:basedOn w:val="DefaultParagraphFont"/>
    <w:uiPriority w:val="99"/>
    <w:semiHidden/>
    <w:unhideWhenUsed/>
    <w:rsid w:val="009E437B"/>
    <w:rPr>
      <w:vertAlign w:val="superscript"/>
    </w:rPr>
  </w:style>
  <w:style w:type="paragraph" w:customStyle="1" w:styleId="Footnotes">
    <w:name w:val="Footnotes"/>
    <w:basedOn w:val="FootnoteText"/>
    <w:link w:val="FootnotesChar"/>
    <w:qFormat/>
    <w:rsid w:val="009A5997"/>
    <w:pPr>
      <w:spacing w:before="100" w:after="100"/>
    </w:pPr>
    <w:rPr>
      <w:rFonts w:ascii="Arial" w:hAnsi="Arial"/>
      <w:sz w:val="14"/>
    </w:rPr>
  </w:style>
  <w:style w:type="character" w:customStyle="1" w:styleId="FootnotesChar">
    <w:name w:val="Footnotes Char"/>
    <w:basedOn w:val="FootnoteTextChar"/>
    <w:link w:val="Footnotes"/>
    <w:rsid w:val="009A5997"/>
    <w:rPr>
      <w:rFonts w:asciiTheme="minorHAnsi" w:eastAsiaTheme="minorHAnsi" w:hAnsiTheme="minorHAnsi" w:cstheme="minorBidi"/>
      <w:sz w:val="14"/>
      <w:lang w:val="en-AU"/>
    </w:rPr>
  </w:style>
  <w:style w:type="paragraph" w:styleId="Revision">
    <w:name w:val="Revision"/>
    <w:hidden/>
    <w:uiPriority w:val="99"/>
    <w:semiHidden/>
    <w:rsid w:val="003C2FB3"/>
    <w:rPr>
      <w:lang w:val="en-AU" w:eastAsia="en-AU"/>
    </w:rPr>
  </w:style>
  <w:style w:type="character" w:styleId="FollowedHyperlink">
    <w:name w:val="FollowedHyperlink"/>
    <w:basedOn w:val="DefaultParagraphFont"/>
    <w:uiPriority w:val="99"/>
    <w:semiHidden/>
    <w:unhideWhenUsed/>
    <w:rsid w:val="00846394"/>
    <w:rPr>
      <w:color w:val="954F72" w:themeColor="followedHyperlink"/>
      <w:u w:val="single"/>
    </w:rPr>
  </w:style>
  <w:style w:type="character" w:customStyle="1" w:styleId="UnresolvedMention">
    <w:name w:val="Unresolved Mention"/>
    <w:basedOn w:val="DefaultParagraphFont"/>
    <w:uiPriority w:val="99"/>
    <w:semiHidden/>
    <w:unhideWhenUsed/>
    <w:rsid w:val="007E0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ls.com.au/Practising-law-in-Qld/Trust-accounts/Trust-Account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25B77-62A7-4E66-BC53-22A839BE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QLS File Closing checklist</vt:lpstr>
    </vt:vector>
  </TitlesOfParts>
  <Company>Queensland Law Society</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QLS File Closing checklist</dc:title>
  <dc:subject/>
  <dc:creator>Clint Slogrove</dc:creator>
  <cp:keywords/>
  <cp:lastModifiedBy>Lauren Clay</cp:lastModifiedBy>
  <cp:revision>7</cp:revision>
  <cp:lastPrinted>2021-05-11T04:54:00Z</cp:lastPrinted>
  <dcterms:created xsi:type="dcterms:W3CDTF">2023-03-22T05:48:00Z</dcterms:created>
  <dcterms:modified xsi:type="dcterms:W3CDTF">2023-07-17T03:40:00Z</dcterms:modified>
</cp:coreProperties>
</file>