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14225" w14:paraId="37CF7A90" w14:textId="77777777">
        <w:tblPrEx>
          <w:tblCellMar>
            <w:top w:w="0" w:type="dxa"/>
            <w:bottom w:w="0" w:type="dxa"/>
          </w:tblCellMar>
        </w:tblPrEx>
        <w:tc>
          <w:tcPr>
            <w:tcW w:w="9026" w:type="dxa"/>
            <w:shd w:val="clear" w:color="auto" w:fill="1F3864"/>
            <w:tcMar>
              <w:top w:w="140" w:type="dxa"/>
              <w:left w:w="200" w:type="dxa"/>
              <w:bottom w:w="140" w:type="dxa"/>
              <w:right w:w="200" w:type="dxa"/>
            </w:tcMar>
          </w:tcPr>
          <w:p w14:paraId="07B4A2A0" w14:textId="77777777" w:rsidR="00614225" w:rsidRDefault="00000000">
            <w:r>
              <w:rPr>
                <w:b/>
                <w:bCs/>
                <w:color w:val="FFFFFF"/>
                <w:sz w:val="20"/>
                <w:szCs w:val="20"/>
              </w:rPr>
              <w:t xml:space="preserve">QUEENSLAND LAW </w:t>
            </w:r>
            <w:proofErr w:type="gramStart"/>
            <w:r>
              <w:rPr>
                <w:b/>
                <w:bCs/>
                <w:color w:val="FFFFFF"/>
                <w:sz w:val="20"/>
                <w:szCs w:val="20"/>
              </w:rPr>
              <w:t>SOCIETY  │</w:t>
            </w:r>
            <w:proofErr w:type="gramEnd"/>
            <w:r>
              <w:rPr>
                <w:b/>
                <w:bCs/>
                <w:color w:val="FFFFFF"/>
                <w:sz w:val="20"/>
                <w:szCs w:val="20"/>
              </w:rPr>
              <w:t xml:space="preserve">  PRIVACY TOOLKIT</w:t>
            </w:r>
          </w:p>
        </w:tc>
      </w:tr>
    </w:tbl>
    <w:p w14:paraId="2D9DC71F" w14:textId="77777777" w:rsidR="00614225" w:rsidRDefault="00614225">
      <w:pPr>
        <w:spacing w:after="400" w:line="276" w:lineRule="auto"/>
      </w:pPr>
    </w:p>
    <w:p w14:paraId="18ECBDD1" w14:textId="77777777" w:rsidR="00614225" w:rsidRDefault="00000000">
      <w:pPr>
        <w:spacing w:after="60"/>
      </w:pPr>
      <w:r>
        <w:rPr>
          <w:b/>
          <w:bCs/>
          <w:color w:val="1F3864"/>
          <w:sz w:val="26"/>
          <w:szCs w:val="26"/>
        </w:rPr>
        <w:t>[FIRM NAME]</w:t>
      </w:r>
    </w:p>
    <w:p w14:paraId="4D3AAE53" w14:textId="77777777" w:rsidR="00614225" w:rsidRDefault="00000000">
      <w:pPr>
        <w:spacing w:after="200"/>
      </w:pPr>
      <w:r>
        <w:rPr>
          <w:b/>
          <w:bCs/>
          <w:color w:val="1F3864"/>
          <w:sz w:val="36"/>
          <w:szCs w:val="36"/>
        </w:rPr>
        <w:t>PRIVACY AND CONFIDENTIALITY AWARENESS TRAINING</w:t>
      </w:r>
    </w:p>
    <w:p w14:paraId="5F3E9738" w14:textId="77777777" w:rsidR="00614225" w:rsidRDefault="00614225">
      <w:pPr>
        <w:spacing w:after="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14225" w14:paraId="402BCB69" w14:textId="77777777">
        <w:tblPrEx>
          <w:tblCellMar>
            <w:top w:w="0" w:type="dxa"/>
            <w:bottom w:w="0" w:type="dxa"/>
          </w:tblCellMar>
        </w:tblPrEx>
        <w:tc>
          <w:tcPr>
            <w:tcW w:w="9026" w:type="dxa"/>
            <w:tcBorders>
              <w:top w:val="single" w:sz="4" w:space="0" w:color="2F5496"/>
              <w:left w:val="single" w:sz="4" w:space="0" w:color="2F5496"/>
              <w:bottom w:val="single" w:sz="4" w:space="0" w:color="2F5496"/>
              <w:right w:val="single" w:sz="4" w:space="0" w:color="2F5496"/>
            </w:tcBorders>
            <w:shd w:val="clear" w:color="auto" w:fill="EEF4FB"/>
            <w:tcMar>
              <w:top w:w="100" w:type="dxa"/>
              <w:left w:w="200" w:type="dxa"/>
              <w:bottom w:w="100" w:type="dxa"/>
              <w:right w:w="200" w:type="dxa"/>
            </w:tcMar>
          </w:tcPr>
          <w:p w14:paraId="7F3C1CDA" w14:textId="77777777" w:rsidR="00614225" w:rsidRDefault="00000000">
            <w:r>
              <w:rPr>
                <w:b/>
                <w:bCs/>
                <w:color w:val="2F5496"/>
                <w:sz w:val="20"/>
                <w:szCs w:val="20"/>
              </w:rPr>
              <w:t xml:space="preserve">DOCUMENT </w:t>
            </w:r>
            <w:proofErr w:type="gramStart"/>
            <w:r>
              <w:rPr>
                <w:b/>
                <w:bCs/>
                <w:color w:val="2F5496"/>
                <w:sz w:val="20"/>
                <w:szCs w:val="20"/>
              </w:rPr>
              <w:t>07  ·</w:t>
            </w:r>
            <w:proofErr w:type="gramEnd"/>
            <w:r>
              <w:rPr>
                <w:b/>
                <w:bCs/>
                <w:color w:val="2F5496"/>
                <w:sz w:val="20"/>
                <w:szCs w:val="20"/>
              </w:rPr>
              <w:t xml:space="preserve">  </w:t>
            </w:r>
            <w:r>
              <w:rPr>
                <w:color w:val="1F3864"/>
                <w:sz w:val="20"/>
                <w:szCs w:val="20"/>
              </w:rPr>
              <w:t>Staff Training Framework</w:t>
            </w:r>
          </w:p>
        </w:tc>
      </w:tr>
    </w:tbl>
    <w:p w14:paraId="6B274A7E" w14:textId="77777777" w:rsidR="00614225" w:rsidRDefault="00614225">
      <w:pPr>
        <w:spacing w:after="300" w:line="276" w:lineRule="auto"/>
      </w:pPr>
    </w:p>
    <w:p w14:paraId="5D61AB53" w14:textId="77777777" w:rsidR="00614225" w:rsidRDefault="00000000">
      <w:pPr>
        <w:spacing w:line="276" w:lineRule="auto"/>
      </w:pPr>
      <w:r>
        <w:rPr>
          <w:i/>
          <w:iCs/>
          <w:sz w:val="21"/>
          <w:szCs w:val="21"/>
        </w:rPr>
        <w:t>This framework supports Privacy Compliance Manual Chapter 17. It provides the training schedule, module content guides and attendance register your firm needs to meet the OAIC’s Privacy Management Framework requirements for staff education.</w:t>
      </w:r>
    </w:p>
    <w:p w14:paraId="06F66A32" w14:textId="77777777" w:rsidR="00614225" w:rsidRDefault="00614225">
      <w:pPr>
        <w:spacing w:after="40" w:line="276" w:lineRule="auto"/>
      </w:pP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6826"/>
      </w:tblGrid>
      <w:tr w:rsidR="00614225" w14:paraId="2122BBCF" w14:textId="77777777">
        <w:tblPrEx>
          <w:tblCellMar>
            <w:top w:w="0" w:type="dxa"/>
            <w:bottom w:w="0" w:type="dxa"/>
          </w:tblCellMar>
        </w:tblPrEx>
        <w:tc>
          <w:tcPr>
            <w:tcW w:w="2200" w:type="dxa"/>
            <w:tcMar>
              <w:top w:w="40" w:type="dxa"/>
              <w:left w:w="0" w:type="dxa"/>
              <w:bottom w:w="40" w:type="dxa"/>
              <w:right w:w="100" w:type="dxa"/>
            </w:tcMar>
          </w:tcPr>
          <w:p w14:paraId="3654A7E1" w14:textId="77777777" w:rsidR="00614225" w:rsidRDefault="00000000">
            <w:r>
              <w:rPr>
                <w:b/>
                <w:bCs/>
                <w:color w:val="666666"/>
                <w:sz w:val="19"/>
                <w:szCs w:val="19"/>
              </w:rPr>
              <w:t>Version</w:t>
            </w:r>
          </w:p>
        </w:tc>
        <w:tc>
          <w:tcPr>
            <w:tcW w:w="6826" w:type="dxa"/>
            <w:tcMar>
              <w:top w:w="40" w:type="dxa"/>
              <w:left w:w="100" w:type="dxa"/>
              <w:bottom w:w="40" w:type="dxa"/>
              <w:right w:w="0" w:type="dxa"/>
            </w:tcMar>
          </w:tcPr>
          <w:p w14:paraId="68B9208D" w14:textId="77777777" w:rsidR="00614225" w:rsidRDefault="00000000">
            <w:r>
              <w:rPr>
                <w:color w:val="666666"/>
                <w:sz w:val="19"/>
                <w:szCs w:val="19"/>
              </w:rPr>
              <w:t>Update to reflect policy changes annually</w:t>
            </w:r>
          </w:p>
        </w:tc>
      </w:tr>
      <w:tr w:rsidR="00614225" w14:paraId="3473AB86" w14:textId="77777777">
        <w:tblPrEx>
          <w:tblCellMar>
            <w:top w:w="0" w:type="dxa"/>
            <w:bottom w:w="0" w:type="dxa"/>
          </w:tblCellMar>
        </w:tblPrEx>
        <w:tc>
          <w:tcPr>
            <w:tcW w:w="2200" w:type="dxa"/>
            <w:tcMar>
              <w:top w:w="40" w:type="dxa"/>
              <w:left w:w="0" w:type="dxa"/>
              <w:bottom w:w="40" w:type="dxa"/>
              <w:right w:w="100" w:type="dxa"/>
            </w:tcMar>
          </w:tcPr>
          <w:p w14:paraId="4C8BADF8" w14:textId="77777777" w:rsidR="00614225" w:rsidRDefault="00000000">
            <w:r>
              <w:rPr>
                <w:b/>
                <w:bCs/>
                <w:color w:val="666666"/>
                <w:sz w:val="19"/>
                <w:szCs w:val="19"/>
              </w:rPr>
              <w:t>Placeholder policy references</w:t>
            </w:r>
          </w:p>
        </w:tc>
        <w:tc>
          <w:tcPr>
            <w:tcW w:w="6826" w:type="dxa"/>
            <w:tcMar>
              <w:top w:w="40" w:type="dxa"/>
              <w:left w:w="100" w:type="dxa"/>
              <w:bottom w:w="40" w:type="dxa"/>
              <w:right w:w="0" w:type="dxa"/>
            </w:tcMar>
          </w:tcPr>
          <w:p w14:paraId="259DDEA8" w14:textId="77777777" w:rsidR="00614225" w:rsidRDefault="00000000">
            <w:r>
              <w:rPr>
                <w:color w:val="666666"/>
                <w:sz w:val="19"/>
                <w:szCs w:val="19"/>
              </w:rPr>
              <w:t>&lt;&lt;removable data storage policy&gt;&gt; and &lt;&lt;AI tool policy&gt;&gt; must be completed before use</w:t>
            </w:r>
          </w:p>
        </w:tc>
      </w:tr>
      <w:tr w:rsidR="00614225" w14:paraId="6FED304E" w14:textId="77777777">
        <w:tblPrEx>
          <w:tblCellMar>
            <w:top w:w="0" w:type="dxa"/>
            <w:bottom w:w="0" w:type="dxa"/>
          </w:tblCellMar>
        </w:tblPrEx>
        <w:tc>
          <w:tcPr>
            <w:tcW w:w="2200" w:type="dxa"/>
            <w:tcMar>
              <w:top w:w="40" w:type="dxa"/>
              <w:left w:w="0" w:type="dxa"/>
              <w:bottom w:w="40" w:type="dxa"/>
              <w:right w:w="100" w:type="dxa"/>
            </w:tcMar>
          </w:tcPr>
          <w:p w14:paraId="5487FB03" w14:textId="77777777" w:rsidR="00614225" w:rsidRDefault="00000000">
            <w:r>
              <w:rPr>
                <w:b/>
                <w:bCs/>
                <w:color w:val="666666"/>
                <w:sz w:val="19"/>
                <w:szCs w:val="19"/>
              </w:rPr>
              <w:t>Drafting notes</w:t>
            </w:r>
          </w:p>
        </w:tc>
        <w:tc>
          <w:tcPr>
            <w:tcW w:w="6826" w:type="dxa"/>
            <w:tcMar>
              <w:top w:w="40" w:type="dxa"/>
              <w:left w:w="100" w:type="dxa"/>
              <w:bottom w:w="40" w:type="dxa"/>
              <w:right w:w="0" w:type="dxa"/>
            </w:tcMar>
          </w:tcPr>
          <w:p w14:paraId="7FB578EE" w14:textId="77777777" w:rsidR="00614225" w:rsidRDefault="00000000">
            <w:r>
              <w:rPr>
                <w:color w:val="666666"/>
                <w:sz w:val="19"/>
                <w:szCs w:val="19"/>
              </w:rPr>
              <w:t>All &lt;&lt;…&gt;&gt; drafting notes should be removed after customisation</w:t>
            </w:r>
          </w:p>
        </w:tc>
      </w:tr>
    </w:tbl>
    <w:p w14:paraId="79630543" w14:textId="77777777" w:rsidR="00614225" w:rsidRDefault="00000000">
      <w:pPr>
        <w:spacing w:line="276" w:lineRule="auto"/>
      </w:pPr>
      <w:r>
        <w:br w:type="page"/>
      </w:r>
    </w:p>
    <w:p w14:paraId="66CDCEF4" w14:textId="77777777" w:rsidR="00614225" w:rsidRDefault="00000000">
      <w:pPr>
        <w:pBdr>
          <w:bottom w:val="single" w:sz="8" w:space="4" w:color="1F3864"/>
        </w:pBdr>
        <w:spacing w:before="360" w:after="160"/>
      </w:pPr>
      <w:r>
        <w:rPr>
          <w:b/>
          <w:bCs/>
          <w:color w:val="1F3864"/>
          <w:sz w:val="28"/>
          <w:szCs w:val="28"/>
        </w:rPr>
        <w:lastRenderedPageBreak/>
        <w:t>Purpose</w:t>
      </w:r>
      <w:r>
        <w:rPr>
          <w:rStyle w:val="FootnoteReference"/>
        </w:rPr>
        <w:footnoteReference w:id="1"/>
      </w:r>
    </w:p>
    <w:p w14:paraId="00894AF9" w14:textId="77777777" w:rsidR="00614225" w:rsidRDefault="00000000">
      <w:pPr>
        <w:spacing w:before="80" w:after="120" w:line="276" w:lineRule="auto"/>
      </w:pPr>
      <w:r>
        <w:t>Privacy and confidentiality awareness training ensures all staff understand the firm’s obligations and know how to handle confidential and personal information appropriately. Regular training is essential to:</w:t>
      </w:r>
    </w:p>
    <w:p w14:paraId="2E0DEE40" w14:textId="77777777" w:rsidR="00614225" w:rsidRDefault="00000000">
      <w:pPr>
        <w:pStyle w:val="ListParagraph"/>
        <w:numPr>
          <w:ilvl w:val="0"/>
          <w:numId w:val="2"/>
        </w:numPr>
        <w:spacing w:before="40" w:after="40" w:line="276" w:lineRule="auto"/>
      </w:pPr>
      <w:r>
        <w:t>ensure all staff understand the firm’s strict confidentiality obligations and the Privacy Act obligations that now overlay them;</w:t>
      </w:r>
    </w:p>
    <w:p w14:paraId="6779E524" w14:textId="77777777" w:rsidR="00614225" w:rsidRDefault="00000000">
      <w:pPr>
        <w:pStyle w:val="ListParagraph"/>
        <w:numPr>
          <w:ilvl w:val="0"/>
          <w:numId w:val="2"/>
        </w:numPr>
        <w:spacing w:before="40" w:after="40" w:line="276" w:lineRule="auto"/>
      </w:pPr>
      <w:r>
        <w:t>reduce the risk of inadvertent disclosure, data breaches, and privacy complaints;</w:t>
      </w:r>
    </w:p>
    <w:p w14:paraId="4A587DE4" w14:textId="77777777" w:rsidR="00614225" w:rsidRDefault="00000000">
      <w:pPr>
        <w:pStyle w:val="ListParagraph"/>
        <w:numPr>
          <w:ilvl w:val="0"/>
          <w:numId w:val="2"/>
        </w:numPr>
        <w:spacing w:before="40" w:after="40" w:line="276" w:lineRule="auto"/>
      </w:pPr>
      <w:r>
        <w:t>ensure staff know the firm’s policies and procedures and how to apply them in daily practice; and</w:t>
      </w:r>
    </w:p>
    <w:p w14:paraId="3FE273E3" w14:textId="77777777" w:rsidR="00614225" w:rsidRDefault="00000000">
      <w:pPr>
        <w:pStyle w:val="ListParagraph"/>
        <w:numPr>
          <w:ilvl w:val="0"/>
          <w:numId w:val="2"/>
        </w:numPr>
        <w:spacing w:before="40" w:after="40" w:line="276" w:lineRule="auto"/>
      </w:pPr>
      <w:r>
        <w:t>build and sustain a culture of privacy across the firm, in line with the OAIC’s Privacy Management Framework.</w:t>
      </w:r>
    </w:p>
    <w:p w14:paraId="6D84A00E" w14:textId="77777777" w:rsidR="00614225" w:rsidRDefault="00614225">
      <w:pPr>
        <w:spacing w:after="60" w:line="276" w:lineRule="auto"/>
      </w:pPr>
    </w:p>
    <w:p w14:paraId="13FD3C10" w14:textId="77777777" w:rsidR="00614225" w:rsidRDefault="00000000">
      <w:pPr>
        <w:pBdr>
          <w:bottom w:val="single" w:sz="8" w:space="4" w:color="1F3864"/>
        </w:pBdr>
        <w:spacing w:before="360" w:after="160"/>
      </w:pPr>
      <w:r>
        <w:rPr>
          <w:b/>
          <w:bCs/>
          <w:color w:val="1F3864"/>
          <w:sz w:val="28"/>
          <w:szCs w:val="28"/>
        </w:rPr>
        <w:t>Training schedule</w:t>
      </w:r>
      <w:r>
        <w:rPr>
          <w:rStyle w:val="FootnoteReference"/>
        </w:rPr>
        <w:footnoteReference w:id="2"/>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600"/>
        <w:gridCol w:w="3226"/>
      </w:tblGrid>
      <w:tr w:rsidR="00614225" w14:paraId="07A1BA83" w14:textId="77777777">
        <w:tblPrEx>
          <w:tblCellMar>
            <w:top w:w="0" w:type="dxa"/>
            <w:bottom w:w="0" w:type="dxa"/>
          </w:tblCellMar>
        </w:tblPrEx>
        <w:trPr>
          <w:tblHeader/>
        </w:trPr>
        <w:tc>
          <w:tcPr>
            <w:tcW w:w="2200" w:type="dxa"/>
            <w:shd w:val="clear" w:color="auto" w:fill="2F5496"/>
            <w:tcMar>
              <w:top w:w="80" w:type="dxa"/>
              <w:left w:w="120" w:type="dxa"/>
              <w:bottom w:w="80" w:type="dxa"/>
              <w:right w:w="120" w:type="dxa"/>
            </w:tcMar>
          </w:tcPr>
          <w:p w14:paraId="74F5F8C4" w14:textId="77777777" w:rsidR="00614225" w:rsidRDefault="00000000">
            <w:r>
              <w:rPr>
                <w:b/>
                <w:bCs/>
                <w:color w:val="FFFFFF"/>
                <w:sz w:val="20"/>
                <w:szCs w:val="20"/>
              </w:rPr>
              <w:t>AUDIENCE</w:t>
            </w:r>
          </w:p>
        </w:tc>
        <w:tc>
          <w:tcPr>
            <w:tcW w:w="3600" w:type="dxa"/>
            <w:shd w:val="clear" w:color="auto" w:fill="2F5496"/>
            <w:tcMar>
              <w:top w:w="80" w:type="dxa"/>
              <w:left w:w="120" w:type="dxa"/>
              <w:bottom w:w="80" w:type="dxa"/>
              <w:right w:w="120" w:type="dxa"/>
            </w:tcMar>
          </w:tcPr>
          <w:p w14:paraId="1B5577EF" w14:textId="77777777" w:rsidR="00614225" w:rsidRDefault="00000000">
            <w:r>
              <w:rPr>
                <w:b/>
                <w:bCs/>
                <w:color w:val="FFFFFF"/>
                <w:sz w:val="20"/>
                <w:szCs w:val="20"/>
              </w:rPr>
              <w:t>TRAINING TYPE</w:t>
            </w:r>
          </w:p>
        </w:tc>
        <w:tc>
          <w:tcPr>
            <w:tcW w:w="3226" w:type="dxa"/>
            <w:shd w:val="clear" w:color="auto" w:fill="2F5496"/>
            <w:tcMar>
              <w:top w:w="80" w:type="dxa"/>
              <w:left w:w="120" w:type="dxa"/>
              <w:bottom w:w="80" w:type="dxa"/>
              <w:right w:w="120" w:type="dxa"/>
            </w:tcMar>
          </w:tcPr>
          <w:p w14:paraId="38E6C1B3" w14:textId="77777777" w:rsidR="00614225" w:rsidRDefault="00000000">
            <w:r>
              <w:rPr>
                <w:b/>
                <w:bCs/>
                <w:color w:val="FFFFFF"/>
                <w:sz w:val="20"/>
                <w:szCs w:val="20"/>
              </w:rPr>
              <w:t>FREQUENCY</w:t>
            </w:r>
          </w:p>
        </w:tc>
      </w:tr>
      <w:tr w:rsidR="00614225" w14:paraId="1F95F84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27CD5D5" w14:textId="77777777" w:rsidR="00614225" w:rsidRDefault="00000000">
            <w:r>
              <w:rPr>
                <w:sz w:val="20"/>
                <w:szCs w:val="20"/>
              </w:rPr>
              <w:t>All staff</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242697" w14:textId="77777777" w:rsidR="00614225" w:rsidRDefault="00000000">
            <w:r>
              <w:rPr>
                <w:sz w:val="20"/>
                <w:szCs w:val="20"/>
              </w:rPr>
              <w:t>Module 1 — Initial privacy and confidentiality training</w:t>
            </w:r>
          </w:p>
        </w:tc>
        <w:tc>
          <w:tcPr>
            <w:tcW w:w="3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7E9635F" w14:textId="77777777" w:rsidR="00614225" w:rsidRDefault="00000000">
            <w:r>
              <w:rPr>
                <w:sz w:val="20"/>
                <w:szCs w:val="20"/>
              </w:rPr>
              <w:t>On induction (a recorded version is recommended for new starters between scheduled sessions)</w:t>
            </w:r>
          </w:p>
        </w:tc>
      </w:tr>
      <w:tr w:rsidR="00614225" w14:paraId="4AE8047C"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14:paraId="57634BB5" w14:textId="77777777" w:rsidR="00614225" w:rsidRDefault="00000000">
            <w:r>
              <w:rPr>
                <w:sz w:val="20"/>
                <w:szCs w:val="20"/>
              </w:rPr>
              <w:t>All staff</w:t>
            </w:r>
          </w:p>
        </w:tc>
        <w:tc>
          <w:tcPr>
            <w:tcW w:w="36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14:paraId="175C3F44" w14:textId="77777777" w:rsidR="00614225" w:rsidRDefault="00000000">
            <w:r>
              <w:rPr>
                <w:sz w:val="20"/>
                <w:szCs w:val="20"/>
              </w:rPr>
              <w:t>Module 2 — Annual privacy and confidentiality refresher</w:t>
            </w:r>
          </w:p>
        </w:tc>
        <w:tc>
          <w:tcPr>
            <w:tcW w:w="32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14:paraId="48F3C561" w14:textId="77777777" w:rsidR="00614225" w:rsidRDefault="00000000">
            <w:r>
              <w:rPr>
                <w:sz w:val="20"/>
                <w:szCs w:val="20"/>
              </w:rPr>
              <w:t>Annually, and on material change of policy or after a notifiable incident</w:t>
            </w:r>
          </w:p>
        </w:tc>
      </w:tr>
      <w:tr w:rsidR="00614225" w14:paraId="32FEDCD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200F89E" w14:textId="77777777" w:rsidR="00614225" w:rsidRDefault="00000000">
            <w:r>
              <w:rPr>
                <w:sz w:val="20"/>
                <w:szCs w:val="20"/>
              </w:rPr>
              <w:t>All staff</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A4E8AA2" w14:textId="77777777" w:rsidR="00614225" w:rsidRDefault="00000000">
            <w:r>
              <w:rPr>
                <w:sz w:val="20"/>
                <w:szCs w:val="20"/>
              </w:rPr>
              <w:t>Module 3 — Cybersecurity awareness training</w:t>
            </w:r>
          </w:p>
        </w:tc>
        <w:tc>
          <w:tcPr>
            <w:tcW w:w="3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293C65" w14:textId="77777777" w:rsidR="00614225" w:rsidRDefault="00000000">
            <w:r>
              <w:rPr>
                <w:sz w:val="20"/>
                <w:szCs w:val="20"/>
              </w:rPr>
              <w:t>On induction, with refresher at least annually (consider quarterly phishing simulations)</w:t>
            </w:r>
          </w:p>
        </w:tc>
      </w:tr>
      <w:tr w:rsidR="00614225" w14:paraId="64E71AF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14:paraId="766AD82D" w14:textId="77777777" w:rsidR="00614225" w:rsidRDefault="00000000">
            <w:r>
              <w:rPr>
                <w:sz w:val="20"/>
                <w:szCs w:val="20"/>
              </w:rPr>
              <w:t>Principal, Privacy Officer, practice manager</w:t>
            </w:r>
          </w:p>
        </w:tc>
        <w:tc>
          <w:tcPr>
            <w:tcW w:w="36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14:paraId="7BF43FC3" w14:textId="77777777" w:rsidR="00614225" w:rsidRDefault="00000000">
            <w:r>
              <w:rPr>
                <w:sz w:val="20"/>
                <w:szCs w:val="20"/>
              </w:rPr>
              <w:t>Privacy and cybersecurity governance refresher — what to check, what to improve</w:t>
            </w:r>
          </w:p>
        </w:tc>
        <w:tc>
          <w:tcPr>
            <w:tcW w:w="3226"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14:paraId="643F2123" w14:textId="77777777" w:rsidR="00614225" w:rsidRDefault="00000000">
            <w:r>
              <w:rPr>
                <w:sz w:val="20"/>
                <w:szCs w:val="20"/>
              </w:rPr>
              <w:t>Annually</w:t>
            </w:r>
          </w:p>
        </w:tc>
      </w:tr>
      <w:tr w:rsidR="00614225" w14:paraId="20A59C3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01B0F3" w14:textId="77777777" w:rsidR="00614225" w:rsidRDefault="00000000">
            <w:r>
              <w:rPr>
                <w:sz w:val="20"/>
                <w:szCs w:val="20"/>
              </w:rPr>
              <w:t>Client-facing staff (CDD/VOI)</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EE177F" w14:textId="77777777" w:rsidR="00614225" w:rsidRDefault="00000000">
            <w:r>
              <w:rPr>
                <w:sz w:val="20"/>
                <w:szCs w:val="20"/>
              </w:rPr>
              <w:t>Targeted CDD privacy briefing</w:t>
            </w:r>
          </w:p>
        </w:tc>
        <w:tc>
          <w:tcPr>
            <w:tcW w:w="3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0825F9" w14:textId="77777777" w:rsidR="00614225" w:rsidRDefault="00000000">
            <w:r>
              <w:rPr>
                <w:sz w:val="20"/>
                <w:szCs w:val="20"/>
              </w:rPr>
              <w:t>On commencement of CDD duties and when CDD procedure changes</w:t>
            </w:r>
          </w:p>
        </w:tc>
      </w:tr>
    </w:tbl>
    <w:p w14:paraId="0C6602BC" w14:textId="77777777" w:rsidR="00614225" w:rsidRDefault="00614225">
      <w:pPr>
        <w:spacing w:after="200" w:line="276" w:lineRule="auto"/>
      </w:pPr>
    </w:p>
    <w:p w14:paraId="40838E3C" w14:textId="77777777" w:rsidR="00614225" w:rsidRDefault="00000000">
      <w:pPr>
        <w:pBdr>
          <w:bottom w:val="single" w:sz="8" w:space="4" w:color="1F3864"/>
        </w:pBdr>
        <w:spacing w:before="360" w:after="160"/>
      </w:pPr>
      <w:r>
        <w:rPr>
          <w:b/>
          <w:bCs/>
          <w:color w:val="1F3864"/>
          <w:sz w:val="28"/>
          <w:szCs w:val="28"/>
        </w:rPr>
        <w:t>Training register template</w:t>
      </w:r>
      <w:r>
        <w:rPr>
          <w:rStyle w:val="FootnoteReference"/>
        </w:rPr>
        <w:footnoteReference w:id="3"/>
      </w:r>
    </w:p>
    <w:p w14:paraId="11F46685" w14:textId="77777777" w:rsidR="00614225" w:rsidRDefault="00000000">
      <w:pPr>
        <w:spacing w:before="80" w:after="120" w:line="276" w:lineRule="auto"/>
      </w:pPr>
      <w:r>
        <w:t>Use this register to record each training session. Keep completed registers with firm compliance records.</w:t>
      </w:r>
    </w:p>
    <w:p w14:paraId="680DC42C" w14:textId="77777777" w:rsidR="00614225" w:rsidRDefault="00614225">
      <w:pPr>
        <w:spacing w:after="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614225" w14:paraId="792E79C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14:paraId="732BAD3D" w14:textId="77777777" w:rsidR="00614225" w:rsidRDefault="00000000">
            <w:r>
              <w:rPr>
                <w:b/>
                <w:bCs/>
                <w:sz w:val="20"/>
                <w:szCs w:val="20"/>
              </w:rPr>
              <w:t>Training description</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DA1F485" w14:textId="77777777" w:rsidR="00614225" w:rsidRDefault="00614225"/>
        </w:tc>
      </w:tr>
      <w:tr w:rsidR="00614225" w14:paraId="4416E70C"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14:paraId="070334BF" w14:textId="77777777" w:rsidR="00614225" w:rsidRDefault="00000000">
            <w:r>
              <w:rPr>
                <w:b/>
                <w:bCs/>
                <w:sz w:val="20"/>
                <w:szCs w:val="20"/>
              </w:rPr>
              <w:lastRenderedPageBreak/>
              <w:t>Date</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0B2854" w14:textId="77777777" w:rsidR="00614225" w:rsidRDefault="00614225"/>
        </w:tc>
      </w:tr>
      <w:tr w:rsidR="00614225" w14:paraId="19CBCE8B"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14:paraId="3DAA8A9B" w14:textId="77777777" w:rsidR="00614225" w:rsidRDefault="00000000">
            <w:r>
              <w:rPr>
                <w:b/>
                <w:bCs/>
                <w:sz w:val="20"/>
                <w:szCs w:val="20"/>
              </w:rPr>
              <w:t>Delivered by</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2942E94" w14:textId="77777777" w:rsidR="00614225" w:rsidRDefault="00614225"/>
        </w:tc>
      </w:tr>
      <w:tr w:rsidR="00614225" w14:paraId="7768D57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14:paraId="3ABF57C1" w14:textId="77777777" w:rsidR="00614225" w:rsidRDefault="00000000">
            <w:r>
              <w:rPr>
                <w:b/>
                <w:bCs/>
                <w:sz w:val="20"/>
                <w:szCs w:val="20"/>
              </w:rPr>
              <w:t>Mode (in person / online / recorded)</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99655DD" w14:textId="77777777" w:rsidR="00614225" w:rsidRDefault="00614225"/>
        </w:tc>
      </w:tr>
      <w:tr w:rsidR="00614225" w14:paraId="68A1FF2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EEF4FB"/>
            <w:tcMar>
              <w:top w:w="80" w:type="dxa"/>
              <w:left w:w="120" w:type="dxa"/>
              <w:bottom w:w="80" w:type="dxa"/>
              <w:right w:w="120" w:type="dxa"/>
            </w:tcMar>
          </w:tcPr>
          <w:p w14:paraId="0BD198A3" w14:textId="77777777" w:rsidR="00614225" w:rsidRDefault="00000000">
            <w:r>
              <w:rPr>
                <w:b/>
                <w:bCs/>
                <w:sz w:val="20"/>
                <w:szCs w:val="20"/>
              </w:rPr>
              <w:t>Module(s) covered</w:t>
            </w:r>
          </w:p>
        </w:tc>
        <w:tc>
          <w:tcPr>
            <w:tcW w:w="62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2D9626F" w14:textId="77777777" w:rsidR="00614225" w:rsidRDefault="00614225"/>
        </w:tc>
      </w:tr>
    </w:tbl>
    <w:p w14:paraId="29C6A2A3" w14:textId="77777777" w:rsidR="00614225" w:rsidRDefault="00614225">
      <w:pPr>
        <w:spacing w:after="12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200"/>
        <w:gridCol w:w="3626"/>
      </w:tblGrid>
      <w:tr w:rsidR="00614225" w14:paraId="201F43DD" w14:textId="77777777">
        <w:tblPrEx>
          <w:tblCellMar>
            <w:top w:w="0" w:type="dxa"/>
            <w:bottom w:w="0" w:type="dxa"/>
          </w:tblCellMar>
        </w:tblPrEx>
        <w:trPr>
          <w:tblHeader/>
        </w:trPr>
        <w:tc>
          <w:tcPr>
            <w:tcW w:w="3200" w:type="dxa"/>
            <w:shd w:val="clear" w:color="auto" w:fill="2F5496"/>
            <w:tcMar>
              <w:top w:w="80" w:type="dxa"/>
              <w:left w:w="120" w:type="dxa"/>
              <w:bottom w:w="80" w:type="dxa"/>
              <w:right w:w="120" w:type="dxa"/>
            </w:tcMar>
          </w:tcPr>
          <w:p w14:paraId="445A106B" w14:textId="77777777" w:rsidR="00614225" w:rsidRDefault="00000000">
            <w:r>
              <w:rPr>
                <w:b/>
                <w:bCs/>
                <w:color w:val="FFFFFF"/>
                <w:sz w:val="20"/>
                <w:szCs w:val="20"/>
              </w:rPr>
              <w:t>Attendee name</w:t>
            </w:r>
          </w:p>
        </w:tc>
        <w:tc>
          <w:tcPr>
            <w:tcW w:w="2200" w:type="dxa"/>
            <w:shd w:val="clear" w:color="auto" w:fill="2F5496"/>
            <w:tcMar>
              <w:top w:w="80" w:type="dxa"/>
              <w:left w:w="120" w:type="dxa"/>
              <w:bottom w:w="80" w:type="dxa"/>
              <w:right w:w="120" w:type="dxa"/>
            </w:tcMar>
          </w:tcPr>
          <w:p w14:paraId="4E34C478" w14:textId="77777777" w:rsidR="00614225" w:rsidRDefault="00000000">
            <w:r>
              <w:rPr>
                <w:b/>
                <w:bCs/>
                <w:color w:val="FFFFFF"/>
                <w:sz w:val="20"/>
                <w:szCs w:val="20"/>
              </w:rPr>
              <w:t>Role</w:t>
            </w:r>
          </w:p>
        </w:tc>
        <w:tc>
          <w:tcPr>
            <w:tcW w:w="3626" w:type="dxa"/>
            <w:shd w:val="clear" w:color="auto" w:fill="2F5496"/>
            <w:tcMar>
              <w:top w:w="80" w:type="dxa"/>
              <w:left w:w="120" w:type="dxa"/>
              <w:bottom w:w="80" w:type="dxa"/>
              <w:right w:w="120" w:type="dxa"/>
            </w:tcMar>
          </w:tcPr>
          <w:p w14:paraId="59620323" w14:textId="77777777" w:rsidR="00614225" w:rsidRDefault="00000000">
            <w:r>
              <w:rPr>
                <w:b/>
                <w:bCs/>
                <w:color w:val="FFFFFF"/>
                <w:sz w:val="20"/>
                <w:szCs w:val="20"/>
              </w:rPr>
              <w:t>Signature (if in person) / acknowledgement (if online)</w:t>
            </w:r>
          </w:p>
        </w:tc>
      </w:tr>
      <w:tr w:rsidR="00614225" w14:paraId="72F0409F"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7B2935" w14:textId="77777777" w:rsidR="00614225" w:rsidRDefault="00000000">
            <w:r>
              <w:t> </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1E8D1BD" w14:textId="77777777" w:rsidR="00614225" w:rsidRDefault="00000000">
            <w:r>
              <w:t> </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BC30053" w14:textId="77777777" w:rsidR="00614225" w:rsidRDefault="00000000">
            <w:r>
              <w:t> </w:t>
            </w:r>
          </w:p>
        </w:tc>
      </w:tr>
      <w:tr w:rsidR="00614225" w14:paraId="64C329D4"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5EC171D" w14:textId="77777777" w:rsidR="00614225" w:rsidRDefault="00000000">
            <w:r>
              <w:t> </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D3F770C" w14:textId="77777777" w:rsidR="00614225" w:rsidRDefault="00000000">
            <w:r>
              <w:t> </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6C6D417" w14:textId="77777777" w:rsidR="00614225" w:rsidRDefault="00000000">
            <w:r>
              <w:t> </w:t>
            </w:r>
          </w:p>
        </w:tc>
      </w:tr>
      <w:tr w:rsidR="00614225" w14:paraId="069E289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E28A20D" w14:textId="77777777" w:rsidR="00614225" w:rsidRDefault="00000000">
            <w:r>
              <w:t> </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7DDA61C" w14:textId="77777777" w:rsidR="00614225" w:rsidRDefault="00000000">
            <w:r>
              <w:t> </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3A74C3" w14:textId="77777777" w:rsidR="00614225" w:rsidRDefault="00000000">
            <w:r>
              <w:t> </w:t>
            </w:r>
          </w:p>
        </w:tc>
      </w:tr>
      <w:tr w:rsidR="00614225" w14:paraId="4E23AB40"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C881B31" w14:textId="77777777" w:rsidR="00614225" w:rsidRDefault="00000000">
            <w:r>
              <w:t> </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882E0D" w14:textId="77777777" w:rsidR="00614225" w:rsidRDefault="00000000">
            <w:r>
              <w:t> </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5B56F4" w14:textId="77777777" w:rsidR="00614225" w:rsidRDefault="00000000">
            <w:r>
              <w:t> </w:t>
            </w:r>
          </w:p>
        </w:tc>
      </w:tr>
      <w:tr w:rsidR="00614225" w14:paraId="0E5978C6"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96DA392" w14:textId="77777777" w:rsidR="00614225" w:rsidRDefault="00000000">
            <w:r>
              <w:t> </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E28F268" w14:textId="77777777" w:rsidR="00614225" w:rsidRDefault="00000000">
            <w:r>
              <w:t> </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3E83581" w14:textId="77777777" w:rsidR="00614225" w:rsidRDefault="00000000">
            <w:r>
              <w:t> </w:t>
            </w:r>
          </w:p>
        </w:tc>
      </w:tr>
      <w:tr w:rsidR="00614225" w14:paraId="25CFB84D"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97AEE6B" w14:textId="77777777" w:rsidR="00614225" w:rsidRDefault="00000000">
            <w:r>
              <w:t> </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C1931FA" w14:textId="77777777" w:rsidR="00614225" w:rsidRDefault="00000000">
            <w:r>
              <w:t> </w:t>
            </w:r>
          </w:p>
        </w:tc>
        <w:tc>
          <w:tcPr>
            <w:tcW w:w="3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D9EF2A7" w14:textId="77777777" w:rsidR="00614225" w:rsidRDefault="00000000">
            <w:r>
              <w:t> </w:t>
            </w:r>
          </w:p>
        </w:tc>
      </w:tr>
    </w:tbl>
    <w:p w14:paraId="2CDE2E53" w14:textId="77777777" w:rsidR="00614225" w:rsidRDefault="00614225">
      <w:pPr>
        <w:spacing w:after="80" w:line="276" w:lineRule="auto"/>
      </w:pPr>
    </w:p>
    <w:p w14:paraId="62A40383" w14:textId="77777777" w:rsidR="00614225" w:rsidRDefault="00000000">
      <w:pPr>
        <w:spacing w:before="60" w:after="60"/>
        <w:ind w:left="540"/>
      </w:pPr>
      <w:r>
        <w:rPr>
          <w:i/>
          <w:iCs/>
          <w:color w:val="666666"/>
          <w:sz w:val="20"/>
          <w:szCs w:val="20"/>
        </w:rPr>
        <w:t>Where signatures are not practicable, retain a confirmation email or LMS attestation as the acknowledgement record.</w:t>
      </w:r>
    </w:p>
    <w:p w14:paraId="49279EDE" w14:textId="77777777" w:rsidR="00614225" w:rsidRDefault="00000000">
      <w:pPr>
        <w:spacing w:line="276" w:lineRule="auto"/>
      </w:pPr>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14225" w14:paraId="6698C3C1" w14:textId="77777777">
        <w:tblPrEx>
          <w:tblCellMar>
            <w:top w:w="0" w:type="dxa"/>
            <w:bottom w:w="0" w:type="dxa"/>
          </w:tblCellMar>
        </w:tblPrEx>
        <w:tc>
          <w:tcPr>
            <w:tcW w:w="9026" w:type="dxa"/>
            <w:shd w:val="clear" w:color="auto" w:fill="1F3864"/>
            <w:tcMar>
              <w:top w:w="120" w:type="dxa"/>
              <w:left w:w="200" w:type="dxa"/>
              <w:bottom w:w="120" w:type="dxa"/>
              <w:right w:w="200" w:type="dxa"/>
            </w:tcMar>
          </w:tcPr>
          <w:p w14:paraId="1006822B" w14:textId="77777777" w:rsidR="00614225" w:rsidRDefault="00000000">
            <w:r>
              <w:rPr>
                <w:b/>
                <w:bCs/>
                <w:color w:val="FFFFFF"/>
                <w:sz w:val="28"/>
                <w:szCs w:val="28"/>
              </w:rPr>
              <w:lastRenderedPageBreak/>
              <w:t>Module 1</w:t>
            </w:r>
          </w:p>
          <w:p w14:paraId="64BC6517" w14:textId="77777777" w:rsidR="00614225" w:rsidRDefault="00000000">
            <w:pPr>
              <w:spacing w:before="40" w:after="40"/>
            </w:pPr>
            <w:r>
              <w:rPr>
                <w:color w:val="FFFFFF"/>
              </w:rPr>
              <w:t>Initial Privacy and Confidentiality Training</w:t>
            </w:r>
          </w:p>
          <w:p w14:paraId="2A7F0969" w14:textId="77777777" w:rsidR="00614225" w:rsidRDefault="00000000">
            <w:r>
              <w:rPr>
                <w:i/>
                <w:iCs/>
                <w:color w:val="EEF4FB"/>
                <w:sz w:val="20"/>
                <w:szCs w:val="20"/>
              </w:rPr>
              <w:t>Duration: 45–60 minutes</w:t>
            </w:r>
          </w:p>
        </w:tc>
      </w:tr>
    </w:tbl>
    <w:p w14:paraId="0D9AAF50" w14:textId="77777777" w:rsidR="00614225" w:rsidRDefault="00614225">
      <w:pPr>
        <w:spacing w:after="120" w:line="276" w:lineRule="auto"/>
      </w:pPr>
    </w:p>
    <w:p w14:paraId="02444EA2" w14:textId="77777777" w:rsidR="00614225" w:rsidRDefault="00000000">
      <w:pPr>
        <w:spacing w:before="280" w:after="120"/>
      </w:pPr>
      <w:r>
        <w:rPr>
          <w:b/>
          <w:bCs/>
          <w:color w:val="1F3864"/>
          <w:sz w:val="24"/>
          <w:szCs w:val="24"/>
        </w:rPr>
        <w:t>Learning objectives</w:t>
      </w:r>
    </w:p>
    <w:p w14:paraId="118943AB" w14:textId="77777777" w:rsidR="00614225" w:rsidRDefault="00000000">
      <w:pPr>
        <w:spacing w:before="80" w:after="120" w:line="276" w:lineRule="auto"/>
      </w:pPr>
      <w:r>
        <w:t>By the end of this module, participants should be able to:</w:t>
      </w:r>
    </w:p>
    <w:p w14:paraId="59F5AE0B" w14:textId="77777777" w:rsidR="00614225" w:rsidRDefault="00000000">
      <w:pPr>
        <w:pStyle w:val="ListParagraph"/>
        <w:numPr>
          <w:ilvl w:val="0"/>
          <w:numId w:val="2"/>
        </w:numPr>
        <w:spacing w:before="40" w:after="40" w:line="276" w:lineRule="auto"/>
      </w:pPr>
      <w:r>
        <w:t>describe the firm’s confidentiality obligations and their source;</w:t>
      </w:r>
    </w:p>
    <w:p w14:paraId="4122D24F" w14:textId="77777777" w:rsidR="00614225" w:rsidRDefault="00000000">
      <w:pPr>
        <w:pStyle w:val="ListParagraph"/>
        <w:numPr>
          <w:ilvl w:val="0"/>
          <w:numId w:val="2"/>
        </w:numPr>
        <w:spacing w:before="40" w:after="40" w:line="276" w:lineRule="auto"/>
      </w:pPr>
      <w:r>
        <w:t>describe the additional Privacy Act obligations that overlay confidentiality and how the two interact;</w:t>
      </w:r>
    </w:p>
    <w:p w14:paraId="6FEAF345" w14:textId="77777777" w:rsidR="00614225" w:rsidRDefault="00000000">
      <w:pPr>
        <w:pStyle w:val="ListParagraph"/>
        <w:numPr>
          <w:ilvl w:val="0"/>
          <w:numId w:val="2"/>
        </w:numPr>
        <w:spacing w:before="40" w:after="40" w:line="276" w:lineRule="auto"/>
      </w:pPr>
      <w:r>
        <w:t>recognise common privacy and confidentiality risks in everyday legal work, including those arising from new technology;</w:t>
      </w:r>
    </w:p>
    <w:p w14:paraId="23837E5A" w14:textId="77777777" w:rsidR="00614225" w:rsidRDefault="00000000">
      <w:pPr>
        <w:pStyle w:val="ListParagraph"/>
        <w:numPr>
          <w:ilvl w:val="0"/>
          <w:numId w:val="2"/>
        </w:numPr>
        <w:spacing w:before="40" w:after="40" w:line="276" w:lineRule="auto"/>
      </w:pPr>
      <w:r>
        <w:t xml:space="preserve">identify a potential data breach or privacy issue and </w:t>
      </w:r>
      <w:proofErr w:type="spellStart"/>
      <w:r>
        <w:t>know how</w:t>
      </w:r>
      <w:proofErr w:type="spellEnd"/>
      <w:r>
        <w:t xml:space="preserve"> and to whom to escalate it; and</w:t>
      </w:r>
    </w:p>
    <w:p w14:paraId="069305E9" w14:textId="77777777" w:rsidR="00614225" w:rsidRDefault="00000000">
      <w:pPr>
        <w:pStyle w:val="ListParagraph"/>
        <w:numPr>
          <w:ilvl w:val="0"/>
          <w:numId w:val="2"/>
        </w:numPr>
        <w:spacing w:before="40" w:after="40" w:line="276" w:lineRule="auto"/>
      </w:pPr>
      <w:r>
        <w:t>locate and apply the firm’s privacy, retention, cybersecurity and AI policies.</w:t>
      </w:r>
    </w:p>
    <w:p w14:paraId="51566C7F" w14:textId="77777777" w:rsidR="00614225" w:rsidRDefault="00614225">
      <w:pPr>
        <w:spacing w:after="100" w:line="276" w:lineRule="auto"/>
      </w:pPr>
    </w:p>
    <w:p w14:paraId="7B8D2E75" w14:textId="77777777" w:rsidR="00614225" w:rsidRDefault="00000000">
      <w:pPr>
        <w:spacing w:before="280" w:after="120"/>
      </w:pPr>
      <w:r>
        <w:rPr>
          <w:b/>
          <w:bCs/>
          <w:color w:val="1F3864"/>
          <w:sz w:val="24"/>
          <w:szCs w:val="24"/>
        </w:rPr>
        <w:t>Training content</w:t>
      </w:r>
    </w:p>
    <w:p w14:paraId="723C350A" w14:textId="77777777" w:rsidR="00614225" w:rsidRDefault="00000000">
      <w:pPr>
        <w:spacing w:before="240" w:after="80"/>
      </w:pPr>
      <w:r>
        <w:rPr>
          <w:b/>
          <w:bCs/>
          <w:color w:val="1F3864"/>
        </w:rPr>
        <w:t>1. The firm’s confidentiality obligations</w:t>
      </w:r>
    </w:p>
    <w:p w14:paraId="0ACBA843" w14:textId="77777777" w:rsidR="00614225" w:rsidRDefault="00000000">
      <w:pPr>
        <w:spacing w:before="80" w:after="120" w:line="276" w:lineRule="auto"/>
      </w:pPr>
      <w:r>
        <w:t>Confidentiality is the foundation of the solicitor–client relationship and is mandated by the Australian Solicitors’ Conduct Rules 2012 (rule 9) and the firm’s engagement terms. It applies from first contact and continues indefinitely after the retainer ends.</w:t>
      </w:r>
    </w:p>
    <w:p w14:paraId="4202CDE8" w14:textId="77777777" w:rsidR="00614225" w:rsidRDefault="00614225">
      <w:pPr>
        <w:spacing w:after="60" w:line="276" w:lineRule="auto"/>
      </w:pPr>
    </w:p>
    <w:p w14:paraId="00A226A2" w14:textId="77777777" w:rsidR="00614225" w:rsidRDefault="00000000">
      <w:pPr>
        <w:spacing w:before="180" w:after="60" w:line="276" w:lineRule="auto"/>
      </w:pPr>
      <w:r>
        <w:rPr>
          <w:b/>
          <w:bCs/>
        </w:rPr>
        <w:t>Confidential information includes:</w:t>
      </w:r>
    </w:p>
    <w:p w14:paraId="67B0D729" w14:textId="77777777" w:rsidR="00614225" w:rsidRDefault="00000000">
      <w:pPr>
        <w:pStyle w:val="ListParagraph"/>
        <w:numPr>
          <w:ilvl w:val="0"/>
          <w:numId w:val="2"/>
        </w:numPr>
        <w:spacing w:before="40" w:after="40" w:line="276" w:lineRule="auto"/>
      </w:pPr>
      <w:r>
        <w:t>that we represent the client at all (in many matters this fact alone is sensitive);</w:t>
      </w:r>
    </w:p>
    <w:p w14:paraId="063B3696" w14:textId="77777777" w:rsidR="00614225" w:rsidRDefault="00000000">
      <w:pPr>
        <w:pStyle w:val="ListParagraph"/>
        <w:numPr>
          <w:ilvl w:val="0"/>
          <w:numId w:val="2"/>
        </w:numPr>
        <w:spacing w:before="40" w:after="40" w:line="276" w:lineRule="auto"/>
      </w:pPr>
      <w:r>
        <w:t>that the client has attended the office;</w:t>
      </w:r>
    </w:p>
    <w:p w14:paraId="28A9CCA5" w14:textId="77777777" w:rsidR="00614225" w:rsidRDefault="00000000">
      <w:pPr>
        <w:pStyle w:val="ListParagraph"/>
        <w:numPr>
          <w:ilvl w:val="0"/>
          <w:numId w:val="2"/>
        </w:numPr>
        <w:spacing w:before="40" w:after="40" w:line="276" w:lineRule="auto"/>
      </w:pPr>
      <w:r>
        <w:t>what the client has asked us to assist with;</w:t>
      </w:r>
    </w:p>
    <w:p w14:paraId="151C999B" w14:textId="77777777" w:rsidR="00614225" w:rsidRDefault="00000000">
      <w:pPr>
        <w:pStyle w:val="ListParagraph"/>
        <w:numPr>
          <w:ilvl w:val="0"/>
          <w:numId w:val="2"/>
        </w:numPr>
        <w:spacing w:before="40" w:after="40" w:line="276" w:lineRule="auto"/>
      </w:pPr>
      <w:r>
        <w:t>what the client has told us in person, in writing or by any other means;</w:t>
      </w:r>
    </w:p>
    <w:p w14:paraId="053D839D" w14:textId="77777777" w:rsidR="00614225" w:rsidRDefault="00000000">
      <w:pPr>
        <w:pStyle w:val="ListParagraph"/>
        <w:numPr>
          <w:ilvl w:val="0"/>
          <w:numId w:val="2"/>
        </w:numPr>
        <w:spacing w:before="40" w:after="40" w:line="276" w:lineRule="auto"/>
      </w:pPr>
      <w:r>
        <w:t>documents supplied by the client; and</w:t>
      </w:r>
    </w:p>
    <w:p w14:paraId="23EEC945" w14:textId="77777777" w:rsidR="00614225" w:rsidRDefault="00000000">
      <w:pPr>
        <w:pStyle w:val="ListParagraph"/>
        <w:numPr>
          <w:ilvl w:val="0"/>
          <w:numId w:val="2"/>
        </w:numPr>
        <w:spacing w:before="40" w:after="40" w:line="276" w:lineRule="auto"/>
      </w:pPr>
      <w:r>
        <w:t>documents or data collected in relation to the client, even from public sources (e.g. prior criminal convictions, ASIC searches, court files).</w:t>
      </w:r>
    </w:p>
    <w:p w14:paraId="1AAC2E7D" w14:textId="77777777" w:rsidR="00614225" w:rsidRDefault="00614225">
      <w:pPr>
        <w:spacing w:after="60" w:line="276" w:lineRule="auto"/>
      </w:pPr>
    </w:p>
    <w:p w14:paraId="5A8043C1" w14:textId="77777777" w:rsidR="00614225" w:rsidRDefault="00000000">
      <w:pPr>
        <w:spacing w:before="180" w:after="60" w:line="276" w:lineRule="auto"/>
      </w:pPr>
      <w:r>
        <w:rPr>
          <w:b/>
          <w:bCs/>
        </w:rPr>
        <w:t>Who can we share confidential information with?</w:t>
      </w: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54"/>
        <w:gridCol w:w="3672"/>
      </w:tblGrid>
      <w:tr w:rsidR="00614225" w14:paraId="4D25A724" w14:textId="77777777">
        <w:tblPrEx>
          <w:tblCellMar>
            <w:top w:w="0" w:type="dxa"/>
            <w:bottom w:w="0" w:type="dxa"/>
          </w:tblCellMar>
        </w:tblPrEx>
        <w:tc>
          <w:tcPr>
            <w:tcW w:w="5235" w:type="dxa"/>
            <w:tcMar>
              <w:top w:w="0" w:type="dxa"/>
              <w:left w:w="0" w:type="dxa"/>
              <w:bottom w:w="0" w:type="dxa"/>
              <w:right w:w="200" w:type="dxa"/>
            </w:tcMar>
          </w:tcPr>
          <w:p w14:paraId="05B434DC" w14:textId="77777777" w:rsidR="00614225" w:rsidRDefault="00000000">
            <w:pPr>
              <w:spacing w:after="60"/>
            </w:pPr>
            <w:r>
              <w:rPr>
                <w:b/>
                <w:bCs/>
                <w:color w:val="2E7D32"/>
                <w:sz w:val="21"/>
                <w:szCs w:val="21"/>
              </w:rPr>
              <w:t>✔ Yes — share with:</w:t>
            </w:r>
          </w:p>
          <w:p w14:paraId="6D5C850E" w14:textId="77777777" w:rsidR="00614225" w:rsidRDefault="00000000">
            <w:pPr>
              <w:pStyle w:val="ListParagraph"/>
              <w:numPr>
                <w:ilvl w:val="0"/>
                <w:numId w:val="2"/>
              </w:numPr>
              <w:spacing w:before="40" w:after="40" w:line="276" w:lineRule="auto"/>
            </w:pPr>
            <w:r>
              <w:t>Only those who need to know for the purpose of doing the work for the client.</w:t>
            </w:r>
          </w:p>
          <w:p w14:paraId="11695F94" w14:textId="77777777" w:rsidR="00614225" w:rsidRDefault="00000000">
            <w:pPr>
              <w:pStyle w:val="ListParagraph"/>
              <w:numPr>
                <w:ilvl w:val="0"/>
                <w:numId w:val="2"/>
              </w:numPr>
              <w:spacing w:before="40" w:after="40" w:line="276" w:lineRule="auto"/>
            </w:pPr>
            <w:r>
              <w:t>Firm contractors and employees for the purpose of doing their job.</w:t>
            </w:r>
          </w:p>
          <w:p w14:paraId="12845D0D" w14:textId="77777777" w:rsidR="00614225" w:rsidRDefault="00614225">
            <w:pPr>
              <w:spacing w:after="80" w:line="276" w:lineRule="auto"/>
            </w:pPr>
          </w:p>
          <w:p w14:paraId="7AF27C9B" w14:textId="77777777" w:rsidR="00614225" w:rsidRDefault="00000000">
            <w:pPr>
              <w:spacing w:after="60"/>
            </w:pPr>
            <w:r>
              <w:rPr>
                <w:b/>
                <w:bCs/>
                <w:color w:val="B45309"/>
                <w:sz w:val="21"/>
                <w:szCs w:val="21"/>
              </w:rPr>
              <w:t>✖ No — do not share with:</w:t>
            </w:r>
          </w:p>
          <w:p w14:paraId="43A3520D" w14:textId="77777777" w:rsidR="00614225" w:rsidRDefault="00000000">
            <w:pPr>
              <w:pStyle w:val="ListParagraph"/>
              <w:numPr>
                <w:ilvl w:val="0"/>
                <w:numId w:val="2"/>
              </w:numPr>
              <w:spacing w:before="40" w:after="40" w:line="276" w:lineRule="auto"/>
            </w:pPr>
            <w:r>
              <w:t>The client’s family and employees unless the client has authorised it.</w:t>
            </w:r>
          </w:p>
          <w:p w14:paraId="6B8F8D6B" w14:textId="4DC9306B" w:rsidR="00614225" w:rsidRDefault="00000000">
            <w:pPr>
              <w:pStyle w:val="ListParagraph"/>
              <w:numPr>
                <w:ilvl w:val="0"/>
                <w:numId w:val="2"/>
              </w:numPr>
              <w:spacing w:before="40" w:after="40" w:line="276" w:lineRule="auto"/>
            </w:pPr>
            <w:r>
              <w:lastRenderedPageBreak/>
              <w:t>Third parties originally attending with the client future disclosures require written permission.</w:t>
            </w:r>
          </w:p>
          <w:p w14:paraId="7D3133C2" w14:textId="77777777" w:rsidR="00614225" w:rsidRDefault="00000000">
            <w:pPr>
              <w:pStyle w:val="ListParagraph"/>
              <w:numPr>
                <w:ilvl w:val="0"/>
                <w:numId w:val="2"/>
              </w:numPr>
              <w:spacing w:before="40" w:after="40" w:line="276" w:lineRule="auto"/>
            </w:pPr>
            <w:r>
              <w:t>Courts, banks and transaction parties may see some, but not all, client information.</w:t>
            </w:r>
          </w:p>
          <w:p w14:paraId="639B9D46" w14:textId="77777777" w:rsidR="00614225" w:rsidRDefault="00614225">
            <w:pPr>
              <w:spacing w:after="60" w:line="276" w:lineRule="auto"/>
            </w:pPr>
          </w:p>
          <w:p w14:paraId="43177540" w14:textId="77777777" w:rsidR="00464828" w:rsidRDefault="00000000">
            <w:pPr>
              <w:spacing w:before="80" w:after="120" w:line="276" w:lineRule="auto"/>
            </w:pPr>
            <w:r>
              <w:t xml:space="preserve">The purpose we collect information and what we can do with it is found in our template collection notice. If we move </w:t>
            </w:r>
            <w:proofErr w:type="gramStart"/>
            <w:r>
              <w:t>firms</w:t>
            </w:r>
            <w:proofErr w:type="gramEnd"/>
            <w:r>
              <w:t xml:space="preserve"> we cannot disclose information about past clients. </w:t>
            </w:r>
          </w:p>
          <w:p w14:paraId="63ED73C0" w14:textId="4BB28308" w:rsidR="00614225" w:rsidRDefault="00000000">
            <w:pPr>
              <w:spacing w:before="80" w:after="120" w:line="276" w:lineRule="auto"/>
            </w:pPr>
            <w:r>
              <w:t xml:space="preserve">Alert a new firm immediately </w:t>
            </w:r>
            <w:r w:rsidR="00464828">
              <w:t xml:space="preserve">that you have relevant information </w:t>
            </w:r>
            <w:r>
              <w:t>(</w:t>
            </w:r>
            <w:r w:rsidR="00464828">
              <w:t>without disclosing</w:t>
            </w:r>
            <w:r>
              <w:t xml:space="preserve"> the information itself) so they can put an information barrier in place.</w:t>
            </w:r>
          </w:p>
        </w:tc>
        <w:tc>
          <w:tcPr>
            <w:tcW w:w="3591" w:type="dxa"/>
            <w:tcBorders>
              <w:top w:val="single" w:sz="4" w:space="0" w:color="2F5496"/>
              <w:left w:val="single" w:sz="4" w:space="0" w:color="2F5496"/>
              <w:bottom w:val="single" w:sz="4" w:space="0" w:color="2F5496"/>
              <w:right w:val="single" w:sz="4" w:space="0" w:color="2F5496"/>
            </w:tcBorders>
            <w:shd w:val="clear" w:color="auto" w:fill="F0F4FA"/>
            <w:tcMar>
              <w:top w:w="120" w:type="dxa"/>
              <w:left w:w="140" w:type="dxa"/>
              <w:bottom w:w="120" w:type="dxa"/>
              <w:right w:w="140" w:type="dxa"/>
            </w:tcMar>
          </w:tcPr>
          <w:p w14:paraId="277E671E" w14:textId="77777777" w:rsidR="00614225" w:rsidRDefault="00000000">
            <w:pPr>
              <w:spacing w:after="80"/>
            </w:pPr>
            <w:r>
              <w:rPr>
                <w:b/>
                <w:bCs/>
                <w:color w:val="1F3864"/>
                <w:sz w:val="20"/>
                <w:szCs w:val="20"/>
              </w:rPr>
              <w:lastRenderedPageBreak/>
              <w:t xml:space="preserve">LSC v </w:t>
            </w:r>
            <w:proofErr w:type="spellStart"/>
            <w:r>
              <w:rPr>
                <w:b/>
                <w:bCs/>
                <w:color w:val="1F3864"/>
                <w:sz w:val="20"/>
                <w:szCs w:val="20"/>
              </w:rPr>
              <w:t>Tampoe</w:t>
            </w:r>
            <w:proofErr w:type="spellEnd"/>
            <w:r>
              <w:rPr>
                <w:b/>
                <w:bCs/>
                <w:color w:val="1F3864"/>
                <w:sz w:val="20"/>
                <w:szCs w:val="20"/>
              </w:rPr>
              <w:t xml:space="preserve"> [2009] LPT 14</w:t>
            </w:r>
          </w:p>
          <w:p w14:paraId="37469F9F" w14:textId="77777777" w:rsidR="00614225" w:rsidRDefault="00000000">
            <w:pPr>
              <w:spacing w:before="40" w:after="40"/>
            </w:pPr>
            <w:r>
              <w:rPr>
                <w:sz w:val="19"/>
                <w:szCs w:val="19"/>
              </w:rPr>
              <w:t>A solicitor gave a TV interview in a high-profile drug case.</w:t>
            </w:r>
          </w:p>
          <w:p w14:paraId="2B6679AB" w14:textId="77777777" w:rsidR="00614225" w:rsidRDefault="00000000">
            <w:pPr>
              <w:spacing w:before="40" w:after="40"/>
            </w:pPr>
            <w:r>
              <w:rPr>
                <w:sz w:val="19"/>
                <w:szCs w:val="19"/>
              </w:rPr>
              <w:t>He disclosed that other members of the client’s family had drug convictions and were suspected of drug trafficking. Although public domain, this was not well known. The trafficking suspicions had been relayed to him in his role as defence solicitor.</w:t>
            </w:r>
          </w:p>
          <w:p w14:paraId="155665F9" w14:textId="0973F297" w:rsidR="00614225" w:rsidRDefault="00000000">
            <w:pPr>
              <w:spacing w:before="40" w:after="40"/>
              <w:rPr>
                <w:sz w:val="19"/>
                <w:szCs w:val="19"/>
              </w:rPr>
            </w:pPr>
            <w:r>
              <w:rPr>
                <w:sz w:val="19"/>
                <w:szCs w:val="19"/>
              </w:rPr>
              <w:t xml:space="preserve">He did not have instructions to </w:t>
            </w:r>
            <w:proofErr w:type="gramStart"/>
            <w:r>
              <w:rPr>
                <w:sz w:val="19"/>
                <w:szCs w:val="19"/>
              </w:rPr>
              <w:t>disclose, and</w:t>
            </w:r>
            <w:proofErr w:type="gramEnd"/>
            <w:r>
              <w:rPr>
                <w:sz w:val="19"/>
                <w:szCs w:val="19"/>
              </w:rPr>
              <w:t xml:space="preserve"> was motivated by dislike of the </w:t>
            </w:r>
            <w:r>
              <w:rPr>
                <w:sz w:val="19"/>
                <w:szCs w:val="19"/>
              </w:rPr>
              <w:lastRenderedPageBreak/>
              <w:t>client’s family.</w:t>
            </w:r>
            <w:r w:rsidR="00464828">
              <w:rPr>
                <w:sz w:val="19"/>
                <w:szCs w:val="19"/>
              </w:rPr>
              <w:t xml:space="preserve"> (Which he described as “trash”)</w:t>
            </w:r>
          </w:p>
          <w:p w14:paraId="4C502F90" w14:textId="77777777" w:rsidR="00464828" w:rsidRDefault="00464828">
            <w:pPr>
              <w:spacing w:before="40" w:after="40"/>
            </w:pPr>
          </w:p>
          <w:p w14:paraId="2E92B48F" w14:textId="77777777" w:rsidR="00614225" w:rsidRDefault="00000000">
            <w:pPr>
              <w:spacing w:before="40" w:after="40"/>
            </w:pPr>
            <w:r>
              <w:rPr>
                <w:sz w:val="19"/>
                <w:szCs w:val="19"/>
              </w:rPr>
              <w:t>Outcome: struck off the roll of solicitors.</w:t>
            </w:r>
          </w:p>
        </w:tc>
      </w:tr>
    </w:tbl>
    <w:p w14:paraId="20E4EB42" w14:textId="77777777" w:rsidR="00614225" w:rsidRDefault="00000000">
      <w:pPr>
        <w:spacing w:before="180" w:after="60" w:line="276" w:lineRule="auto"/>
      </w:pPr>
      <w:r>
        <w:rPr>
          <w:b/>
          <w:bCs/>
        </w:rPr>
        <w:lastRenderedPageBreak/>
        <w:t>Are there exceptions to the general rule?</w:t>
      </w:r>
    </w:p>
    <w:p w14:paraId="0921F9FA" w14:textId="77777777" w:rsidR="00614225" w:rsidRDefault="00000000">
      <w:pPr>
        <w:spacing w:before="80" w:after="120" w:line="276" w:lineRule="auto"/>
      </w:pPr>
      <w:r>
        <w:t>Yes, but they are rare. It is highly unusual for a law firm to break confidentiality. Exceptions include:</w:t>
      </w:r>
    </w:p>
    <w:p w14:paraId="777FABBB" w14:textId="77777777" w:rsidR="00614225" w:rsidRDefault="00000000">
      <w:pPr>
        <w:pStyle w:val="ListParagraph"/>
        <w:numPr>
          <w:ilvl w:val="0"/>
          <w:numId w:val="2"/>
        </w:numPr>
        <w:spacing w:before="40" w:after="40" w:line="276" w:lineRule="auto"/>
      </w:pPr>
      <w:r>
        <w:t>To protect the client’s health and safety (e.g. an immediate suicide plan).</w:t>
      </w:r>
    </w:p>
    <w:p w14:paraId="77EC22CF" w14:textId="77777777" w:rsidR="00614225" w:rsidRDefault="00000000">
      <w:pPr>
        <w:pStyle w:val="ListParagraph"/>
        <w:numPr>
          <w:ilvl w:val="0"/>
          <w:numId w:val="2"/>
        </w:numPr>
        <w:spacing w:before="40" w:after="40" w:line="276" w:lineRule="auto"/>
      </w:pPr>
      <w:r>
        <w:t>To prevent injury to a third party (e.g. telling child services your client cannot look after dependent children).</w:t>
      </w:r>
    </w:p>
    <w:p w14:paraId="39006566" w14:textId="77777777" w:rsidR="00614225" w:rsidRDefault="00000000">
      <w:pPr>
        <w:pStyle w:val="ListParagraph"/>
        <w:numPr>
          <w:ilvl w:val="0"/>
          <w:numId w:val="2"/>
        </w:numPr>
        <w:spacing w:before="40" w:after="40" w:line="276" w:lineRule="auto"/>
      </w:pPr>
      <w:r>
        <w:t>To prevent an imminent serious criminal offence, as defined in the ASCR.</w:t>
      </w:r>
    </w:p>
    <w:p w14:paraId="5F3EB9D1" w14:textId="77777777" w:rsidR="00614225" w:rsidRDefault="00614225">
      <w:pPr>
        <w:spacing w:after="80" w:line="276" w:lineRule="auto"/>
      </w:pPr>
    </w:p>
    <w:p w14:paraId="046B76DF" w14:textId="77777777" w:rsidR="00614225" w:rsidRDefault="00000000">
      <w:pPr>
        <w:spacing w:before="80" w:after="120" w:line="276" w:lineRule="auto"/>
      </w:pPr>
      <w:r>
        <w:t>More resources are available from QLS:</w:t>
      </w:r>
    </w:p>
    <w:p w14:paraId="29BC0ABA" w14:textId="77777777" w:rsidR="00614225" w:rsidRDefault="00000000">
      <w:pPr>
        <w:pStyle w:val="ListParagraph"/>
        <w:numPr>
          <w:ilvl w:val="0"/>
          <w:numId w:val="2"/>
        </w:numPr>
        <w:spacing w:before="40" w:after="40" w:line="276" w:lineRule="auto"/>
      </w:pPr>
      <w:hyperlink r:id="rId7" w:history="1">
        <w:r>
          <w:rPr>
            <w:color w:val="2F5496"/>
            <w:u w:val="single"/>
          </w:rPr>
          <w:t>Responding to threats of imminent serious physical harm</w:t>
        </w:r>
      </w:hyperlink>
    </w:p>
    <w:p w14:paraId="2DF44083" w14:textId="77777777" w:rsidR="00614225" w:rsidRDefault="00000000">
      <w:pPr>
        <w:pStyle w:val="ListParagraph"/>
        <w:numPr>
          <w:ilvl w:val="0"/>
          <w:numId w:val="2"/>
        </w:numPr>
        <w:spacing w:before="40" w:after="40" w:line="276" w:lineRule="auto"/>
      </w:pPr>
      <w:hyperlink r:id="rId8" w:history="1">
        <w:r>
          <w:rPr>
            <w:color w:val="2F5496"/>
            <w:u w:val="single"/>
          </w:rPr>
          <w:t>Proctor: When can I report a dangerous or suicidal client?</w:t>
        </w:r>
      </w:hyperlink>
    </w:p>
    <w:p w14:paraId="0E5BAB3F" w14:textId="77777777" w:rsidR="00614225" w:rsidRDefault="00614225">
      <w:pPr>
        <w:spacing w:after="8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4A0" w:firstRow="1" w:lastRow="0" w:firstColumn="1" w:lastColumn="0" w:noHBand="0" w:noVBand="1"/>
      </w:tblPr>
      <w:tblGrid>
        <w:gridCol w:w="9026"/>
      </w:tblGrid>
      <w:tr w:rsidR="00614225" w14:paraId="1EAEBDAC" w14:textId="77777777">
        <w:tc>
          <w:tcPr>
            <w:tcW w:w="9026" w:type="dxa"/>
            <w:tcBorders>
              <w:top w:val="single" w:sz="2" w:space="0" w:color="2F5496"/>
              <w:left w:val="single" w:sz="12" w:space="0" w:color="2F5496"/>
              <w:bottom w:val="single" w:sz="2" w:space="0" w:color="2F5496"/>
              <w:right w:val="single" w:sz="2" w:space="0" w:color="2F5496"/>
            </w:tcBorders>
            <w:shd w:val="clear" w:color="auto" w:fill="EEF4FB"/>
            <w:tcMar>
              <w:top w:w="120" w:type="dxa"/>
              <w:left w:w="160" w:type="dxa"/>
              <w:bottom w:w="120" w:type="dxa"/>
              <w:right w:w="160" w:type="dxa"/>
            </w:tcMar>
          </w:tcPr>
          <w:p w14:paraId="6DC55891" w14:textId="5B9D275C" w:rsidR="00614225" w:rsidRDefault="00464828">
            <w:pPr>
              <w:spacing w:after="80"/>
            </w:pPr>
            <w:r>
              <w:t>What if a supervisor is not available and I think it might be urgent?</w:t>
            </w:r>
          </w:p>
          <w:p w14:paraId="46E393DC" w14:textId="36FBEAA9" w:rsidR="00614225" w:rsidRDefault="00000000">
            <w:pPr>
              <w:spacing w:before="40" w:after="40"/>
            </w:pPr>
            <w:r>
              <w:rPr>
                <w:sz w:val="20"/>
                <w:szCs w:val="20"/>
              </w:rPr>
              <w:t xml:space="preserve">If an urgent </w:t>
            </w:r>
            <w:r w:rsidR="00464828">
              <w:rPr>
                <w:sz w:val="20"/>
                <w:szCs w:val="20"/>
              </w:rPr>
              <w:t>concern</w:t>
            </w:r>
            <w:r>
              <w:rPr>
                <w:sz w:val="20"/>
                <w:szCs w:val="20"/>
              </w:rPr>
              <w:t xml:space="preserve"> arises and you cannot get instructions from a partner or supervisor, contact the QLS Ethics Centre for confidential advice on (07) 3842 5843.</w:t>
            </w:r>
          </w:p>
          <w:p w14:paraId="23AC2907" w14:textId="59065D02" w:rsidR="00614225" w:rsidRDefault="00000000">
            <w:pPr>
              <w:spacing w:before="40" w:after="40"/>
            </w:pPr>
            <w:r>
              <w:rPr>
                <w:sz w:val="20"/>
                <w:szCs w:val="20"/>
              </w:rPr>
              <w:t>It is not a breach of confidentiality to seek ethics guidance</w:t>
            </w:r>
            <w:r w:rsidR="00464828">
              <w:rPr>
                <w:sz w:val="20"/>
                <w:szCs w:val="20"/>
              </w:rPr>
              <w:t xml:space="preserve"> and there is no cost or consequence from making the call.</w:t>
            </w:r>
          </w:p>
        </w:tc>
      </w:tr>
    </w:tbl>
    <w:p w14:paraId="30AF37F1" w14:textId="77777777" w:rsidR="00614225" w:rsidRDefault="00614225">
      <w:pPr>
        <w:spacing w:after="120" w:line="276" w:lineRule="auto"/>
      </w:pPr>
    </w:p>
    <w:p w14:paraId="4D01E4D4" w14:textId="77777777" w:rsidR="00614225" w:rsidRDefault="00000000">
      <w:pPr>
        <w:spacing w:before="240" w:after="80"/>
      </w:pPr>
      <w:r>
        <w:rPr>
          <w:b/>
          <w:bCs/>
          <w:color w:val="1F3864"/>
        </w:rPr>
        <w:t>2. The firm’s Privacy Act obligations</w:t>
      </w:r>
      <w:r>
        <w:rPr>
          <w:rStyle w:val="FootnoteReference"/>
        </w:rPr>
        <w:footnoteReference w:id="4"/>
      </w:r>
    </w:p>
    <w:p w14:paraId="5CB46F68" w14:textId="77777777" w:rsidR="00614225" w:rsidRDefault="00000000">
      <w:pPr>
        <w:spacing w:before="80" w:after="120" w:line="276" w:lineRule="auto"/>
      </w:pPr>
      <w:r>
        <w:t xml:space="preserve">The firm is bound by the </w:t>
      </w:r>
      <w:r>
        <w:rPr>
          <w:i/>
          <w:iCs/>
        </w:rPr>
        <w:t>Privacy Act 1988</w:t>
      </w:r>
      <w:r>
        <w:t xml:space="preserve"> (</w:t>
      </w:r>
      <w:proofErr w:type="spellStart"/>
      <w:r>
        <w:t>Cth</w:t>
      </w:r>
      <w:proofErr w:type="spellEnd"/>
      <w:r>
        <w:t>) and the Australian Privacy Principles (APPs) in addition to its existing confidentiality duties in relation to information collected for AML/CTF purposes (“regulated personal information”).</w:t>
      </w:r>
    </w:p>
    <w:p w14:paraId="1122D32F" w14:textId="77777777" w:rsidR="00614225" w:rsidRDefault="00614225">
      <w:pPr>
        <w:spacing w:after="60" w:line="276" w:lineRule="auto"/>
      </w:pPr>
    </w:p>
    <w:p w14:paraId="000C62DB" w14:textId="77777777" w:rsidR="00614225" w:rsidRDefault="00000000">
      <w:pPr>
        <w:spacing w:before="80" w:after="120" w:line="276" w:lineRule="auto"/>
      </w:pPr>
      <w:r>
        <w:rPr>
          <w:b/>
          <w:bCs/>
        </w:rPr>
        <w:t>Key points for staff:</w:t>
      </w:r>
    </w:p>
    <w:p w14:paraId="7639288C" w14:textId="77777777" w:rsidR="00614225" w:rsidRDefault="00000000">
      <w:pPr>
        <w:pStyle w:val="ListParagraph"/>
        <w:numPr>
          <w:ilvl w:val="0"/>
          <w:numId w:val="2"/>
        </w:numPr>
        <w:spacing w:before="40" w:after="40" w:line="276" w:lineRule="auto"/>
      </w:pPr>
      <w:r>
        <w:lastRenderedPageBreak/>
        <w:t>the Privacy Act regulates some of the personal information we hold throughout the whole lifecycle: how it is collected, used, disclosed, stored and destroyed;</w:t>
      </w:r>
      <w:r>
        <w:rPr>
          <w:rStyle w:val="FootnoteReference"/>
        </w:rPr>
        <w:footnoteReference w:id="5"/>
      </w:r>
    </w:p>
    <w:p w14:paraId="09D57D86" w14:textId="55E3813F" w:rsidR="00614225" w:rsidRDefault="00000000">
      <w:pPr>
        <w:pStyle w:val="ListParagraph"/>
        <w:numPr>
          <w:ilvl w:val="0"/>
          <w:numId w:val="2"/>
        </w:numPr>
        <w:spacing w:before="40" w:after="40" w:line="276" w:lineRule="auto"/>
      </w:pPr>
      <w:r>
        <w:t>“</w:t>
      </w:r>
      <w:proofErr w:type="gramStart"/>
      <w:r>
        <w:t>personal</w:t>
      </w:r>
      <w:proofErr w:type="gramEnd"/>
      <w:r>
        <w:t xml:space="preserve"> information” includes anything that identifies a living individual</w:t>
      </w:r>
      <w:r w:rsidR="00464828">
        <w:t xml:space="preserve">: </w:t>
      </w:r>
      <w:r>
        <w:t>names, addresses, identification documents, beneficial-ownership information and biometric data collected for verification of identity;</w:t>
      </w:r>
    </w:p>
    <w:p w14:paraId="5E3D25C4" w14:textId="6846444D" w:rsidR="00614225" w:rsidRDefault="00000000">
      <w:pPr>
        <w:pStyle w:val="ListParagraph"/>
        <w:numPr>
          <w:ilvl w:val="0"/>
          <w:numId w:val="2"/>
        </w:numPr>
        <w:spacing w:before="40" w:after="40" w:line="276" w:lineRule="auto"/>
      </w:pPr>
      <w:r>
        <w:t>“</w:t>
      </w:r>
      <w:proofErr w:type="gramStart"/>
      <w:r>
        <w:t>sensitive</w:t>
      </w:r>
      <w:proofErr w:type="gramEnd"/>
      <w:r>
        <w:t xml:space="preserve"> information” (a sub-category of personal information) attracts higher protection and is common in our work</w:t>
      </w:r>
      <w:r w:rsidR="00464828">
        <w:t>,</w:t>
      </w:r>
      <w:r>
        <w:t xml:space="preserve"> </w:t>
      </w:r>
      <w:r w:rsidR="00464828">
        <w:t xml:space="preserve">such as </w:t>
      </w:r>
      <w:r>
        <w:t>health information, criminal record, sexual orientation, religious or political views, and racial or ethnic origin;</w:t>
      </w:r>
    </w:p>
    <w:p w14:paraId="6ADEB0DC" w14:textId="77777777" w:rsidR="00614225" w:rsidRDefault="00000000">
      <w:pPr>
        <w:pStyle w:val="ListParagraph"/>
        <w:numPr>
          <w:ilvl w:val="0"/>
          <w:numId w:val="2"/>
        </w:numPr>
        <w:spacing w:before="40" w:after="40" w:line="276" w:lineRule="auto"/>
      </w:pPr>
      <w:r>
        <w:t>our obligations apply to information about any individual whose data we hold — not only clients (also witnesses, opposing parties, third parties named in documents, staff, and contractors).</w:t>
      </w:r>
    </w:p>
    <w:p w14:paraId="7C33CDE5" w14:textId="77777777" w:rsidR="00614225" w:rsidRDefault="00614225">
      <w:pPr>
        <w:spacing w:after="10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4A0" w:firstRow="1" w:lastRow="0" w:firstColumn="1" w:lastColumn="0" w:noHBand="0" w:noVBand="1"/>
      </w:tblPr>
      <w:tblGrid>
        <w:gridCol w:w="9026"/>
      </w:tblGrid>
      <w:tr w:rsidR="00614225" w14:paraId="21DB1A85" w14:textId="77777777">
        <w:tc>
          <w:tcPr>
            <w:tcW w:w="9026" w:type="dxa"/>
            <w:tcBorders>
              <w:top w:val="single" w:sz="2" w:space="0" w:color="2F5496"/>
              <w:left w:val="single" w:sz="12" w:space="0" w:color="2F5496"/>
              <w:bottom w:val="single" w:sz="2" w:space="0" w:color="2F5496"/>
              <w:right w:val="single" w:sz="2" w:space="0" w:color="2F5496"/>
            </w:tcBorders>
            <w:shd w:val="clear" w:color="auto" w:fill="EEF4FB"/>
            <w:tcMar>
              <w:top w:w="120" w:type="dxa"/>
              <w:left w:w="160" w:type="dxa"/>
              <w:bottom w:w="120" w:type="dxa"/>
              <w:right w:w="160" w:type="dxa"/>
            </w:tcMar>
          </w:tcPr>
          <w:p w14:paraId="6A6ED2A2" w14:textId="77777777" w:rsidR="00614225" w:rsidRDefault="00000000">
            <w:pPr>
              <w:spacing w:after="80"/>
            </w:pPr>
            <w:r>
              <w:rPr>
                <w:b/>
                <w:bCs/>
                <w:color w:val="1F3864"/>
                <w:sz w:val="21"/>
                <w:szCs w:val="21"/>
              </w:rPr>
              <w:t>Quick reference — the APPs you are most likely to encounter</w:t>
            </w:r>
          </w:p>
          <w:p w14:paraId="38938837" w14:textId="77777777" w:rsidR="00614225" w:rsidRDefault="00000000">
            <w:pPr>
              <w:spacing w:before="40" w:after="40"/>
            </w:pPr>
            <w:r>
              <w:rPr>
                <w:sz w:val="20"/>
                <w:szCs w:val="20"/>
              </w:rPr>
              <w:t>APP 1 — open and transparent management (we must have, and follow, a privacy policy).</w:t>
            </w:r>
          </w:p>
          <w:p w14:paraId="0EDD6706" w14:textId="77777777" w:rsidR="00614225" w:rsidRDefault="00000000">
            <w:pPr>
              <w:spacing w:before="40" w:after="40"/>
            </w:pPr>
            <w:r>
              <w:rPr>
                <w:sz w:val="20"/>
                <w:szCs w:val="20"/>
              </w:rPr>
              <w:t>APP 3 — only collect personal information that is reasonably necessary.</w:t>
            </w:r>
          </w:p>
          <w:p w14:paraId="5EC5F7C4" w14:textId="77777777" w:rsidR="00614225" w:rsidRDefault="00000000">
            <w:pPr>
              <w:spacing w:before="40" w:after="40"/>
            </w:pPr>
            <w:r>
              <w:rPr>
                <w:sz w:val="20"/>
                <w:szCs w:val="20"/>
              </w:rPr>
              <w:t>APP 5 — give a collection notice when we collect personal information.</w:t>
            </w:r>
          </w:p>
          <w:p w14:paraId="6BBF08F2" w14:textId="77777777" w:rsidR="00614225" w:rsidRDefault="00000000">
            <w:pPr>
              <w:spacing w:before="40" w:after="40"/>
            </w:pPr>
            <w:r>
              <w:rPr>
                <w:sz w:val="20"/>
                <w:szCs w:val="20"/>
              </w:rPr>
              <w:t>APP 6 — only use or disclose personal information for the purpose collected (or a permitted secondary purpose).</w:t>
            </w:r>
          </w:p>
          <w:p w14:paraId="1AC71797" w14:textId="77777777" w:rsidR="00614225" w:rsidRDefault="00000000">
            <w:pPr>
              <w:spacing w:before="40" w:after="40"/>
            </w:pPr>
            <w:r>
              <w:rPr>
                <w:sz w:val="20"/>
                <w:szCs w:val="20"/>
              </w:rPr>
              <w:t>APP 8 — take reasonable steps before sending personal information overseas (relevant to cloud services and offshore transaction parties).</w:t>
            </w:r>
          </w:p>
          <w:p w14:paraId="62E0B014" w14:textId="77777777" w:rsidR="00614225" w:rsidRDefault="00000000">
            <w:pPr>
              <w:spacing w:before="40" w:after="40"/>
            </w:pPr>
            <w:r>
              <w:rPr>
                <w:sz w:val="20"/>
                <w:szCs w:val="20"/>
              </w:rPr>
              <w:t>APP 11 — protect personal information from misuse, loss and unauthorised access; and destroy or de-identify it when no longer needed.</w:t>
            </w:r>
          </w:p>
          <w:p w14:paraId="60CFE041" w14:textId="77777777" w:rsidR="00614225" w:rsidRDefault="00000000">
            <w:pPr>
              <w:spacing w:before="40" w:after="40"/>
            </w:pPr>
            <w:r>
              <w:rPr>
                <w:sz w:val="20"/>
                <w:szCs w:val="20"/>
              </w:rPr>
              <w:t>APP 12 and APP 13 — individuals can request access to, and correction of, their personal information.</w:t>
            </w:r>
          </w:p>
        </w:tc>
      </w:tr>
    </w:tbl>
    <w:p w14:paraId="6D953249" w14:textId="77777777" w:rsidR="00614225" w:rsidRDefault="00614225">
      <w:pPr>
        <w:spacing w:after="100" w:line="276" w:lineRule="auto"/>
      </w:pPr>
    </w:p>
    <w:p w14:paraId="0FB70FC9" w14:textId="77777777" w:rsidR="00614225" w:rsidRDefault="00000000">
      <w:pPr>
        <w:spacing w:before="240" w:after="80"/>
      </w:pPr>
      <w:r>
        <w:rPr>
          <w:b/>
          <w:bCs/>
          <w:color w:val="1F3864"/>
        </w:rPr>
        <w:t>3. Consequences of breach</w:t>
      </w:r>
      <w:r>
        <w:rPr>
          <w:rStyle w:val="FootnoteReference"/>
        </w:rPr>
        <w:footnoteReference w:id="6"/>
      </w:r>
    </w:p>
    <w:p w14:paraId="7CE54FD5" w14:textId="77777777" w:rsidR="00614225" w:rsidRDefault="00000000">
      <w:pPr>
        <w:spacing w:before="80" w:after="120" w:line="276" w:lineRule="auto"/>
      </w:pPr>
      <w:r>
        <w:t>Consequences can be personal, professional and financial. Staff should understand:</w:t>
      </w:r>
    </w:p>
    <w:p w14:paraId="043498F7" w14:textId="77777777" w:rsidR="00614225" w:rsidRDefault="00000000">
      <w:pPr>
        <w:pStyle w:val="ListParagraph"/>
        <w:numPr>
          <w:ilvl w:val="0"/>
          <w:numId w:val="2"/>
        </w:numPr>
        <w:spacing w:before="40" w:after="40" w:line="276" w:lineRule="auto"/>
      </w:pPr>
      <w:r>
        <w:rPr>
          <w:b/>
          <w:bCs/>
        </w:rPr>
        <w:t xml:space="preserve">Confidentiality breaches — </w:t>
      </w:r>
      <w:r>
        <w:t xml:space="preserve">may constitute professional misconduct or unsatisfactory professional conduct under the </w:t>
      </w:r>
      <w:r>
        <w:rPr>
          <w:i/>
          <w:iCs/>
        </w:rPr>
        <w:t>Legal Profession Act 2007</w:t>
      </w:r>
      <w:r>
        <w:t xml:space="preserve"> (Qld</w:t>
      </w:r>
      <w:proofErr w:type="gramStart"/>
      <w:r>
        <w:t>), and</w:t>
      </w:r>
      <w:proofErr w:type="gramEnd"/>
      <w:r>
        <w:t xml:space="preserve"> may give rise to civil liability or termination of employment.</w:t>
      </w:r>
    </w:p>
    <w:p w14:paraId="70DCF57F" w14:textId="77777777" w:rsidR="00614225" w:rsidRDefault="00000000">
      <w:pPr>
        <w:pStyle w:val="ListParagraph"/>
        <w:numPr>
          <w:ilvl w:val="0"/>
          <w:numId w:val="2"/>
        </w:numPr>
        <w:spacing w:before="40" w:after="40" w:line="276" w:lineRule="auto"/>
      </w:pPr>
      <w:r>
        <w:rPr>
          <w:b/>
          <w:bCs/>
        </w:rPr>
        <w:t xml:space="preserve">Privacy Act breaches — </w:t>
      </w:r>
      <w:r>
        <w:t>may attract OAIC investigation, infringement notices, compliance notices and civil penalties up to $2.5 million for individuals and $50 million for body corporates for serious or repeated interferences with privacy.</w:t>
      </w:r>
    </w:p>
    <w:p w14:paraId="67C30B0F" w14:textId="77777777" w:rsidR="00614225" w:rsidRDefault="00000000">
      <w:pPr>
        <w:pStyle w:val="ListParagraph"/>
        <w:numPr>
          <w:ilvl w:val="0"/>
          <w:numId w:val="2"/>
        </w:numPr>
        <w:spacing w:before="40" w:after="40" w:line="276" w:lineRule="auto"/>
      </w:pPr>
      <w:r>
        <w:rPr>
          <w:b/>
          <w:bCs/>
        </w:rPr>
        <w:t xml:space="preserve">Statutory tort for serious invasions of privacy — </w:t>
      </w:r>
      <w:r>
        <w:t>commenced June 2025; opens a direct litigation pathway for affected individuals.</w:t>
      </w:r>
    </w:p>
    <w:p w14:paraId="408C3D74" w14:textId="77777777" w:rsidR="00614225" w:rsidRDefault="00000000">
      <w:pPr>
        <w:pStyle w:val="ListParagraph"/>
        <w:numPr>
          <w:ilvl w:val="0"/>
          <w:numId w:val="2"/>
        </w:numPr>
        <w:spacing w:before="40" w:after="40" w:line="276" w:lineRule="auto"/>
      </w:pPr>
      <w:r>
        <w:rPr>
          <w:b/>
          <w:bCs/>
        </w:rPr>
        <w:t xml:space="preserve">Notifiable data breaches — </w:t>
      </w:r>
      <w:r>
        <w:t>the firm is required to notify the OAIC and affected individuals where a data breach is likely to result in serious harm.</w:t>
      </w:r>
    </w:p>
    <w:p w14:paraId="5F1E6068" w14:textId="77777777" w:rsidR="00614225" w:rsidRDefault="00000000">
      <w:pPr>
        <w:pStyle w:val="ListParagraph"/>
        <w:numPr>
          <w:ilvl w:val="0"/>
          <w:numId w:val="2"/>
        </w:numPr>
        <w:spacing w:before="40" w:after="40" w:line="276" w:lineRule="auto"/>
      </w:pPr>
      <w:proofErr w:type="spellStart"/>
      <w:r>
        <w:rPr>
          <w:b/>
          <w:bCs/>
        </w:rPr>
        <w:t>Cyber attack</w:t>
      </w:r>
      <w:proofErr w:type="spellEnd"/>
      <w:r>
        <w:rPr>
          <w:b/>
          <w:bCs/>
        </w:rPr>
        <w:t xml:space="preserve"> — </w:t>
      </w:r>
      <w:r>
        <w:t>reputational damage, regulatory notification, professional indemnity exposure, Lexon claim, and potential ARNECC and AUSTRAC obligations.</w:t>
      </w:r>
    </w:p>
    <w:p w14:paraId="2B656ABF" w14:textId="77777777" w:rsidR="00614225" w:rsidRDefault="00614225">
      <w:pPr>
        <w:spacing w:after="120" w:line="276" w:lineRule="auto"/>
      </w:pPr>
    </w:p>
    <w:p w14:paraId="6CBCE99D" w14:textId="77777777" w:rsidR="00614225" w:rsidRDefault="00000000">
      <w:pPr>
        <w:spacing w:before="240" w:after="80"/>
      </w:pPr>
      <w:r>
        <w:rPr>
          <w:b/>
          <w:bCs/>
          <w:color w:val="1F3864"/>
        </w:rPr>
        <w:lastRenderedPageBreak/>
        <w:t>4. Privacy risks in daily work</w:t>
      </w:r>
      <w:r>
        <w:rPr>
          <w:rStyle w:val="FootnoteReference"/>
        </w:rPr>
        <w:footnoteReference w:id="7"/>
      </w:r>
    </w:p>
    <w:p w14:paraId="265B3023" w14:textId="2DA08F17" w:rsidR="00614225" w:rsidRDefault="00000000">
      <w:pPr>
        <w:spacing w:before="80" w:after="120" w:line="276" w:lineRule="auto"/>
      </w:pPr>
      <w:r>
        <w:t>Risks fall broadly into two categories</w:t>
      </w:r>
      <w:r w:rsidR="00464828">
        <w:t xml:space="preserve">, </w:t>
      </w:r>
      <w:r>
        <w:t>deliberate actions and inadvertent disclosures. Most incidents in legal practice arise from the second.</w:t>
      </w:r>
    </w:p>
    <w:p w14:paraId="13526B2F" w14:textId="77777777" w:rsidR="00614225" w:rsidRDefault="00614225">
      <w:pPr>
        <w:spacing w:after="60" w:line="276" w:lineRule="auto"/>
      </w:pPr>
    </w:p>
    <w:p w14:paraId="5BE6B3F4" w14:textId="77777777" w:rsidR="00614225" w:rsidRDefault="00000000">
      <w:pPr>
        <w:spacing w:before="180" w:after="60" w:line="276" w:lineRule="auto"/>
      </w:pPr>
      <w:r>
        <w:rPr>
          <w:b/>
          <w:bCs/>
        </w:rPr>
        <w:t>Deliberate actions to avoid</w:t>
      </w:r>
    </w:p>
    <w:p w14:paraId="3C92753A" w14:textId="77777777" w:rsidR="00614225" w:rsidRDefault="00000000">
      <w:pPr>
        <w:pStyle w:val="ListParagraph"/>
        <w:numPr>
          <w:ilvl w:val="0"/>
          <w:numId w:val="2"/>
        </w:numPr>
        <w:spacing w:before="40" w:after="40" w:line="276" w:lineRule="auto"/>
      </w:pPr>
      <w:r>
        <w:t>speaking about client matters on the phone in public places (lifts, cafes, public transport);</w:t>
      </w:r>
    </w:p>
    <w:p w14:paraId="59A806E3" w14:textId="3A263CF6" w:rsidR="00614225" w:rsidRDefault="00000000">
      <w:pPr>
        <w:pStyle w:val="ListParagraph"/>
        <w:numPr>
          <w:ilvl w:val="0"/>
          <w:numId w:val="2"/>
        </w:numPr>
        <w:spacing w:before="40" w:after="40" w:line="276" w:lineRule="auto"/>
      </w:pPr>
      <w:r>
        <w:t>gossip</w:t>
      </w:r>
      <w:r w:rsidR="00464828">
        <w:t xml:space="preserve">, </w:t>
      </w:r>
      <w:r>
        <w:t>including with colleagues at other firms or talking about work to friends and family;</w:t>
      </w:r>
    </w:p>
    <w:p w14:paraId="1E1D23FC" w14:textId="77777777" w:rsidR="00614225" w:rsidRDefault="00000000">
      <w:pPr>
        <w:pStyle w:val="ListParagraph"/>
        <w:numPr>
          <w:ilvl w:val="0"/>
          <w:numId w:val="2"/>
        </w:numPr>
        <w:spacing w:before="40" w:after="40" w:line="276" w:lineRule="auto"/>
      </w:pPr>
      <w:r>
        <w:t>working on confidential matters on a laptop in public areas without a privacy screen;</w:t>
      </w:r>
    </w:p>
    <w:p w14:paraId="5EFA3524" w14:textId="77777777" w:rsidR="00614225" w:rsidRDefault="00000000">
      <w:pPr>
        <w:pStyle w:val="ListParagraph"/>
        <w:numPr>
          <w:ilvl w:val="0"/>
          <w:numId w:val="2"/>
        </w:numPr>
        <w:spacing w:before="40" w:after="40" w:line="276" w:lineRule="auto"/>
      </w:pPr>
      <w:r>
        <w:t>disposing of physical documents in general rubbish or recycling rather than secure destruction;</w:t>
      </w:r>
    </w:p>
    <w:p w14:paraId="3FD58191" w14:textId="77777777" w:rsidR="00614225" w:rsidRDefault="00000000">
      <w:pPr>
        <w:pStyle w:val="ListParagraph"/>
        <w:numPr>
          <w:ilvl w:val="0"/>
          <w:numId w:val="2"/>
        </w:numPr>
        <w:spacing w:before="40" w:after="40" w:line="276" w:lineRule="auto"/>
      </w:pPr>
      <w:r>
        <w:t>using non-approved AI tools, cloud storage, messaging apps or transmission systems for firm work;</w:t>
      </w:r>
    </w:p>
    <w:p w14:paraId="7CD86932" w14:textId="77777777" w:rsidR="00614225" w:rsidRDefault="00000000">
      <w:pPr>
        <w:pStyle w:val="ListParagraph"/>
        <w:numPr>
          <w:ilvl w:val="0"/>
          <w:numId w:val="2"/>
        </w:numPr>
        <w:spacing w:before="40" w:after="40" w:line="276" w:lineRule="auto"/>
      </w:pPr>
      <w:r>
        <w:t>emailing work to a personal address or saving it to a personal device;</w:t>
      </w:r>
    </w:p>
    <w:p w14:paraId="154894FC" w14:textId="77777777" w:rsidR="00614225" w:rsidRDefault="00000000">
      <w:pPr>
        <w:pStyle w:val="ListParagraph"/>
        <w:numPr>
          <w:ilvl w:val="0"/>
          <w:numId w:val="2"/>
        </w:numPr>
        <w:spacing w:before="40" w:after="40" w:line="276" w:lineRule="auto"/>
      </w:pPr>
      <w:r>
        <w:t xml:space="preserve">disclosing client information to people who appear </w:t>
      </w:r>
      <w:proofErr w:type="gramStart"/>
      <w:r>
        <w:t>connected</w:t>
      </w:r>
      <w:proofErr w:type="gramEnd"/>
      <w:r>
        <w:t xml:space="preserve"> but whose authority is not established, such as the client’s spouses, parents, business partners, financial advisers — without written authority.</w:t>
      </w:r>
    </w:p>
    <w:p w14:paraId="1C8837BA" w14:textId="77777777" w:rsidR="00614225" w:rsidRDefault="00614225">
      <w:pPr>
        <w:spacing w:after="80" w:line="276" w:lineRule="auto"/>
      </w:pPr>
    </w:p>
    <w:p w14:paraId="30CEAC8B" w14:textId="77777777" w:rsidR="00614225" w:rsidRDefault="00000000">
      <w:pPr>
        <w:spacing w:before="180" w:after="60" w:line="276" w:lineRule="auto"/>
      </w:pPr>
      <w:r>
        <w:rPr>
          <w:b/>
          <w:bCs/>
        </w:rPr>
        <w:t>Inadvertent risks</w:t>
      </w:r>
    </w:p>
    <w:p w14:paraId="03BE1F66" w14:textId="77777777" w:rsidR="00614225" w:rsidRDefault="00000000">
      <w:pPr>
        <w:pStyle w:val="ListParagraph"/>
        <w:numPr>
          <w:ilvl w:val="0"/>
          <w:numId w:val="2"/>
        </w:numPr>
        <w:spacing w:before="40" w:after="40" w:line="276" w:lineRule="auto"/>
      </w:pPr>
      <w:r>
        <w:t>email mistakes — wrong recipient, autocomplete error, reply-all, unintended cc;</w:t>
      </w:r>
    </w:p>
    <w:p w14:paraId="2FC749CC" w14:textId="77777777" w:rsidR="00614225" w:rsidRDefault="00000000">
      <w:pPr>
        <w:pStyle w:val="ListParagraph"/>
        <w:numPr>
          <w:ilvl w:val="0"/>
          <w:numId w:val="2"/>
        </w:numPr>
        <w:spacing w:before="40" w:after="40" w:line="276" w:lineRule="auto"/>
      </w:pPr>
      <w:r>
        <w:t>phishing, business email compromise and payment redirection fraud;</w:t>
      </w:r>
    </w:p>
    <w:p w14:paraId="0B66E45D" w14:textId="77777777" w:rsidR="00614225" w:rsidRDefault="00000000">
      <w:pPr>
        <w:pStyle w:val="ListParagraph"/>
        <w:numPr>
          <w:ilvl w:val="0"/>
          <w:numId w:val="2"/>
        </w:numPr>
        <w:spacing w:before="40" w:after="40" w:line="276" w:lineRule="auto"/>
      </w:pPr>
      <w:r>
        <w:t>working from home without adequate physical and information security (family members with access to files, unlocked screens, shared devices);</w:t>
      </w:r>
    </w:p>
    <w:p w14:paraId="055381AE" w14:textId="77777777" w:rsidR="00614225" w:rsidRDefault="00000000">
      <w:pPr>
        <w:pStyle w:val="ListParagraph"/>
        <w:numPr>
          <w:ilvl w:val="0"/>
          <w:numId w:val="2"/>
        </w:numPr>
        <w:spacing w:before="40" w:after="40" w:line="276" w:lineRule="auto"/>
      </w:pPr>
      <w:r>
        <w:t>photographs or video calls taken in the office with client information visible in the background;</w:t>
      </w:r>
    </w:p>
    <w:p w14:paraId="6FA2A508" w14:textId="77777777" w:rsidR="00614225" w:rsidRDefault="00000000">
      <w:pPr>
        <w:pStyle w:val="ListParagraph"/>
        <w:numPr>
          <w:ilvl w:val="0"/>
          <w:numId w:val="2"/>
        </w:numPr>
        <w:spacing w:before="40" w:after="40" w:line="276" w:lineRule="auto"/>
      </w:pPr>
      <w:r>
        <w:t>lost or stolen laptops, phones, USB drives and physical files;</w:t>
      </w:r>
    </w:p>
    <w:p w14:paraId="4DA22648" w14:textId="77777777" w:rsidR="00614225" w:rsidRDefault="00000000">
      <w:pPr>
        <w:pStyle w:val="ListParagraph"/>
        <w:numPr>
          <w:ilvl w:val="0"/>
          <w:numId w:val="2"/>
        </w:numPr>
        <w:spacing w:before="40" w:after="40" w:line="276" w:lineRule="auto"/>
      </w:pPr>
      <w:r>
        <w:t>misconfigured sharing in cloud document services (links shared too broadly, external collaborators retained); and</w:t>
      </w:r>
    </w:p>
    <w:p w14:paraId="60A37417" w14:textId="77777777" w:rsidR="00614225" w:rsidRDefault="00000000">
      <w:pPr>
        <w:pStyle w:val="ListParagraph"/>
        <w:numPr>
          <w:ilvl w:val="0"/>
          <w:numId w:val="2"/>
        </w:numPr>
        <w:spacing w:before="40" w:after="40" w:line="276" w:lineRule="auto"/>
      </w:pPr>
      <w:r>
        <w:t>AI tools that retain inputs or use them to train models.</w:t>
      </w:r>
    </w:p>
    <w:p w14:paraId="79A991AF" w14:textId="77777777" w:rsidR="00614225" w:rsidRDefault="00614225">
      <w:pPr>
        <w:spacing w:after="120" w:line="276" w:lineRule="auto"/>
      </w:pPr>
    </w:p>
    <w:p w14:paraId="7946E606" w14:textId="77777777" w:rsidR="00614225" w:rsidRDefault="00000000">
      <w:pPr>
        <w:spacing w:before="240" w:after="80"/>
      </w:pPr>
      <w:r>
        <w:rPr>
          <w:b/>
          <w:bCs/>
          <w:color w:val="1F3864"/>
        </w:rPr>
        <w:t xml:space="preserve">5. Practical </w:t>
      </w:r>
      <w:proofErr w:type="gramStart"/>
      <w:r>
        <w:rPr>
          <w:b/>
          <w:bCs/>
          <w:color w:val="1F3864"/>
        </w:rPr>
        <w:t>do’s</w:t>
      </w:r>
      <w:proofErr w:type="gramEnd"/>
      <w:r>
        <w:rPr>
          <w:b/>
          <w:bCs/>
          <w:color w:val="1F3864"/>
        </w:rPr>
        <w:t xml:space="preserve"> and don’ts</w:t>
      </w:r>
    </w:p>
    <w:p w14:paraId="2FF37356" w14:textId="77777777" w:rsidR="00614225" w:rsidRDefault="00614225">
      <w:pPr>
        <w:spacing w:after="6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4A0" w:firstRow="1" w:lastRow="0" w:firstColumn="1" w:lastColumn="0" w:noHBand="0" w:noVBand="1"/>
      </w:tblPr>
      <w:tblGrid>
        <w:gridCol w:w="4513"/>
        <w:gridCol w:w="4513"/>
      </w:tblGrid>
      <w:tr w:rsidR="00614225" w14:paraId="16E75637" w14:textId="77777777">
        <w:tblPrEx>
          <w:tblCellMar>
            <w:top w:w="0" w:type="dxa"/>
          </w:tblCellMar>
        </w:tblPrEx>
        <w:tc>
          <w:tcPr>
            <w:tcW w:w="4433" w:type="dxa"/>
            <w:tcBorders>
              <w:top w:val="single" w:sz="2" w:space="0" w:color="2E7D32"/>
              <w:left w:val="single" w:sz="8" w:space="0" w:color="2E7D32"/>
              <w:bottom w:val="single" w:sz="2" w:space="0" w:color="2E7D32"/>
              <w:right w:val="single" w:sz="2" w:space="0" w:color="2E7D32"/>
            </w:tcBorders>
            <w:shd w:val="clear" w:color="auto" w:fill="E8F5E9"/>
            <w:tcMar>
              <w:top w:w="100" w:type="dxa"/>
              <w:left w:w="140" w:type="dxa"/>
              <w:bottom w:w="100" w:type="dxa"/>
              <w:right w:w="140" w:type="dxa"/>
            </w:tcMar>
          </w:tcPr>
          <w:p w14:paraId="299C6729" w14:textId="77777777" w:rsidR="00614225" w:rsidRDefault="00000000">
            <w:pPr>
              <w:shd w:val="clear" w:color="auto" w:fill="E8F5E9"/>
              <w:spacing w:before="80" w:after="80"/>
            </w:pPr>
            <w:r>
              <w:rPr>
                <w:b/>
                <w:bCs/>
                <w:color w:val="2E7D32"/>
              </w:rPr>
              <w:t>✔ DO</w:t>
            </w:r>
          </w:p>
          <w:p w14:paraId="702E5D38" w14:textId="77777777" w:rsidR="00614225" w:rsidRDefault="00000000">
            <w:pPr>
              <w:pStyle w:val="ListParagraph"/>
              <w:numPr>
                <w:ilvl w:val="0"/>
                <w:numId w:val="2"/>
              </w:numPr>
              <w:spacing w:before="40" w:after="40"/>
            </w:pPr>
            <w:r>
              <w:t>Double-check email recipients and attachments before sending — especially when autocomplete suggests a name.</w:t>
            </w:r>
          </w:p>
          <w:p w14:paraId="3DBB1891" w14:textId="77777777" w:rsidR="00614225" w:rsidRDefault="00000000">
            <w:pPr>
              <w:pStyle w:val="ListParagraph"/>
              <w:numPr>
                <w:ilvl w:val="0"/>
                <w:numId w:val="2"/>
              </w:numPr>
              <w:spacing w:before="40" w:after="40"/>
            </w:pPr>
            <w:r>
              <w:t xml:space="preserve">Identify high-risk attachments and send by secure link rather than as an </w:t>
            </w:r>
            <w:r>
              <w:lastRenderedPageBreak/>
              <w:t>attachment, with a separate password where firm policy requires.</w:t>
            </w:r>
          </w:p>
          <w:p w14:paraId="4DAA49D1" w14:textId="77777777" w:rsidR="00614225" w:rsidRDefault="00000000">
            <w:pPr>
              <w:pStyle w:val="ListParagraph"/>
              <w:numPr>
                <w:ilvl w:val="0"/>
                <w:numId w:val="2"/>
              </w:numPr>
              <w:spacing w:before="40" w:after="40"/>
            </w:pPr>
            <w:r>
              <w:t>Know and comply with the firm’s &lt;&lt;removable data storage policy&gt;&gt;¹ and &lt;&lt;artificial intelligence tool policy&gt;&gt;¹⁰.</w:t>
            </w:r>
          </w:p>
          <w:p w14:paraId="18DEBA49" w14:textId="77777777" w:rsidR="00614225" w:rsidRDefault="00000000">
            <w:pPr>
              <w:pStyle w:val="ListParagraph"/>
              <w:numPr>
                <w:ilvl w:val="0"/>
                <w:numId w:val="2"/>
              </w:numPr>
              <w:spacing w:before="40" w:after="40"/>
            </w:pPr>
            <w:r>
              <w:t xml:space="preserve">Lock your computer when you leave your desk (Windows: </w:t>
            </w:r>
            <w:proofErr w:type="spellStart"/>
            <w:r>
              <w:t>Win+L</w:t>
            </w:r>
            <w:proofErr w:type="spellEnd"/>
            <w:r>
              <w:t xml:space="preserve">; Mac: </w:t>
            </w:r>
            <w:proofErr w:type="spellStart"/>
            <w:r>
              <w:t>Ctrl+Cmd+Q</w:t>
            </w:r>
            <w:proofErr w:type="spellEnd"/>
            <w:r>
              <w:t>).</w:t>
            </w:r>
          </w:p>
          <w:p w14:paraId="339D3074" w14:textId="77777777" w:rsidR="00614225" w:rsidRDefault="00000000">
            <w:pPr>
              <w:pStyle w:val="ListParagraph"/>
              <w:numPr>
                <w:ilvl w:val="0"/>
                <w:numId w:val="2"/>
              </w:numPr>
              <w:spacing w:before="40" w:after="40"/>
            </w:pPr>
            <w:r>
              <w:t>Report lost devices, lost files or suspected breaches immediately — even if you think they will turn up.</w:t>
            </w:r>
          </w:p>
          <w:p w14:paraId="305892E1" w14:textId="77777777" w:rsidR="00614225" w:rsidRDefault="00000000">
            <w:pPr>
              <w:pStyle w:val="ListParagraph"/>
              <w:numPr>
                <w:ilvl w:val="0"/>
                <w:numId w:val="2"/>
              </w:numPr>
              <w:spacing w:before="40" w:after="40"/>
            </w:pPr>
            <w:r>
              <w:t>Shred or use secure destruction for any physical document containing personal or confidential information.</w:t>
            </w:r>
          </w:p>
          <w:p w14:paraId="5107992E" w14:textId="77777777" w:rsidR="00614225" w:rsidRDefault="00000000">
            <w:pPr>
              <w:pStyle w:val="ListParagraph"/>
              <w:numPr>
                <w:ilvl w:val="0"/>
                <w:numId w:val="2"/>
              </w:numPr>
              <w:spacing w:before="40" w:after="40"/>
            </w:pPr>
            <w:r>
              <w:t>Use approved file transfer, document management and AI tools only, and verify before using anything new.</w:t>
            </w:r>
          </w:p>
          <w:p w14:paraId="2B8C5294" w14:textId="77777777" w:rsidR="00614225" w:rsidRDefault="00000000">
            <w:pPr>
              <w:pStyle w:val="ListParagraph"/>
              <w:numPr>
                <w:ilvl w:val="0"/>
                <w:numId w:val="2"/>
              </w:numPr>
              <w:spacing w:before="40" w:after="40"/>
            </w:pPr>
            <w:r>
              <w:t>Verify payment instructions out-of-band (a phone call to a known number) before changing trust account or settlement payment details.</w:t>
            </w:r>
          </w:p>
        </w:tc>
        <w:tc>
          <w:tcPr>
            <w:tcW w:w="4433" w:type="dxa"/>
            <w:tcBorders>
              <w:top w:val="single" w:sz="2" w:space="0" w:color="B45309"/>
              <w:left w:val="single" w:sz="8" w:space="0" w:color="B45309"/>
              <w:bottom w:val="single" w:sz="2" w:space="0" w:color="B45309"/>
              <w:right w:val="single" w:sz="2" w:space="0" w:color="B45309"/>
            </w:tcBorders>
            <w:shd w:val="clear" w:color="auto" w:fill="FFF3E0"/>
            <w:tcMar>
              <w:top w:w="100" w:type="dxa"/>
              <w:left w:w="140" w:type="dxa"/>
              <w:bottom w:w="100" w:type="dxa"/>
              <w:right w:w="140" w:type="dxa"/>
            </w:tcMar>
          </w:tcPr>
          <w:p w14:paraId="4148BB93" w14:textId="77777777" w:rsidR="00614225" w:rsidRDefault="00000000">
            <w:pPr>
              <w:shd w:val="clear" w:color="auto" w:fill="FFF3E0"/>
              <w:spacing w:before="80" w:after="80"/>
            </w:pPr>
            <w:r>
              <w:rPr>
                <w:b/>
                <w:bCs/>
                <w:color w:val="B45309"/>
              </w:rPr>
              <w:lastRenderedPageBreak/>
              <w:t>✖ DON’T</w:t>
            </w:r>
          </w:p>
          <w:p w14:paraId="1E50DF01" w14:textId="77777777" w:rsidR="00614225" w:rsidRDefault="00000000">
            <w:pPr>
              <w:pStyle w:val="ListParagraph"/>
              <w:numPr>
                <w:ilvl w:val="0"/>
                <w:numId w:val="2"/>
              </w:numPr>
              <w:spacing w:before="40" w:after="40"/>
            </w:pPr>
            <w:r>
              <w:t>Discuss client matters in public places — including lifts and shared kitchens.</w:t>
            </w:r>
          </w:p>
          <w:p w14:paraId="1F87F2B8" w14:textId="77777777" w:rsidR="00614225" w:rsidRDefault="00000000">
            <w:pPr>
              <w:pStyle w:val="ListParagraph"/>
              <w:numPr>
                <w:ilvl w:val="0"/>
                <w:numId w:val="2"/>
              </w:numPr>
              <w:spacing w:before="40" w:after="40"/>
            </w:pPr>
            <w:r>
              <w:t>Use personal email, personal cloud storage or personal messaging apps for client work.</w:t>
            </w:r>
          </w:p>
          <w:p w14:paraId="3D775004" w14:textId="77777777" w:rsidR="00614225" w:rsidRDefault="00000000">
            <w:pPr>
              <w:pStyle w:val="ListParagraph"/>
              <w:numPr>
                <w:ilvl w:val="0"/>
                <w:numId w:val="2"/>
              </w:numPr>
              <w:spacing w:before="40" w:after="40"/>
            </w:pPr>
            <w:r>
              <w:lastRenderedPageBreak/>
              <w:t>Leave files or documents in meeting rooms, vehicles, or unattended bags.</w:t>
            </w:r>
          </w:p>
          <w:p w14:paraId="254574C2" w14:textId="77777777" w:rsidR="00614225" w:rsidRDefault="00000000">
            <w:pPr>
              <w:pStyle w:val="ListParagraph"/>
              <w:numPr>
                <w:ilvl w:val="0"/>
                <w:numId w:val="2"/>
              </w:numPr>
              <w:spacing w:before="40" w:after="40"/>
            </w:pPr>
            <w:r>
              <w:t>Share passwords, write them down where others can see, or reuse passwords across systems.</w:t>
            </w:r>
          </w:p>
          <w:p w14:paraId="749CFF01" w14:textId="77777777" w:rsidR="00614225" w:rsidRDefault="00000000">
            <w:pPr>
              <w:pStyle w:val="ListParagraph"/>
              <w:numPr>
                <w:ilvl w:val="0"/>
                <w:numId w:val="2"/>
              </w:numPr>
              <w:spacing w:before="40" w:after="40"/>
            </w:pPr>
            <w:r>
              <w:t>Take client files home without authorisation and a secure handling plan.</w:t>
            </w:r>
          </w:p>
          <w:p w14:paraId="45EFC2F9" w14:textId="77777777" w:rsidR="00614225" w:rsidRDefault="00000000">
            <w:pPr>
              <w:pStyle w:val="ListParagraph"/>
              <w:numPr>
                <w:ilvl w:val="0"/>
                <w:numId w:val="2"/>
              </w:numPr>
              <w:spacing w:before="40" w:after="40"/>
            </w:pPr>
            <w:r>
              <w:t>Talk about client matters with friends or family, even anonymously — third parties may have enough context to identify the client.</w:t>
            </w:r>
          </w:p>
          <w:p w14:paraId="1A179CCE" w14:textId="77777777" w:rsidR="00614225" w:rsidRDefault="00000000">
            <w:pPr>
              <w:pStyle w:val="ListParagraph"/>
              <w:numPr>
                <w:ilvl w:val="0"/>
                <w:numId w:val="2"/>
              </w:numPr>
              <w:spacing w:before="40" w:after="40"/>
            </w:pPr>
            <w:r>
              <w:t>Paste client information into a public or non-approved AI tool.</w:t>
            </w:r>
          </w:p>
        </w:tc>
      </w:tr>
    </w:tbl>
    <w:p w14:paraId="43E34B7B" w14:textId="77777777" w:rsidR="00614225" w:rsidRDefault="00614225">
      <w:pPr>
        <w:spacing w:after="80" w:line="276" w:lineRule="auto"/>
      </w:pPr>
    </w:p>
    <w:p w14:paraId="01D37CD0" w14:textId="77777777" w:rsidR="00614225" w:rsidRDefault="00000000">
      <w:pPr>
        <w:spacing w:before="60" w:after="60"/>
        <w:ind w:left="540"/>
      </w:pPr>
      <w:r>
        <w:rPr>
          <w:i/>
          <w:iCs/>
          <w:color w:val="666666"/>
          <w:sz w:val="20"/>
          <w:szCs w:val="20"/>
        </w:rPr>
        <w:t>Work-from-home arrangements require specific physical and cyber controls. Confirm the firm’s WFH policy is current and walk staff through it during induction.</w:t>
      </w:r>
    </w:p>
    <w:p w14:paraId="2967E3D9" w14:textId="77777777" w:rsidR="00614225" w:rsidRDefault="00614225">
      <w:pPr>
        <w:spacing w:after="120" w:line="276" w:lineRule="auto"/>
      </w:pPr>
    </w:p>
    <w:p w14:paraId="119CBCBA" w14:textId="77777777" w:rsidR="00614225" w:rsidRDefault="00000000">
      <w:pPr>
        <w:spacing w:before="240" w:after="80"/>
      </w:pPr>
      <w:r>
        <w:rPr>
          <w:b/>
          <w:bCs/>
          <w:color w:val="1F3864"/>
        </w:rPr>
        <w:t>6. Privacy considerations in client due diligence</w:t>
      </w:r>
      <w:r>
        <w:rPr>
          <w:rStyle w:val="FootnoteReference"/>
        </w:rPr>
        <w:footnoteReference w:id="8"/>
      </w:r>
    </w:p>
    <w:p w14:paraId="4500DB3A" w14:textId="77777777" w:rsidR="00614225" w:rsidRDefault="00000000">
      <w:pPr>
        <w:spacing w:before="80" w:after="120" w:line="276" w:lineRule="auto"/>
      </w:pPr>
      <w:r>
        <w:t>Client Due Diligence (CDD) is the process by which we establish proof of a client’s identity (“VOI”), their authority to speak for another person or entity, and assess anti-money-laundering risk.</w:t>
      </w:r>
    </w:p>
    <w:p w14:paraId="4CE707A0" w14:textId="77777777" w:rsidR="00614225" w:rsidRDefault="00000000">
      <w:pPr>
        <w:spacing w:before="80" w:after="120" w:line="276" w:lineRule="auto"/>
      </w:pPr>
      <w:r>
        <w:t>CDD is one of the firm’s highest-risk privacy activities because it involves collection of identification documents and, in many cases, sensitive information about beneficial owners and politically exposed persons.</w:t>
      </w:r>
    </w:p>
    <w:p w14:paraId="561C70DF" w14:textId="77777777" w:rsidR="00614225" w:rsidRDefault="00614225">
      <w:pPr>
        <w:spacing w:after="60" w:line="276" w:lineRule="auto"/>
      </w:pPr>
    </w:p>
    <w:p w14:paraId="1C22FC7F" w14:textId="77777777" w:rsidR="00614225" w:rsidRDefault="00000000">
      <w:pPr>
        <w:pStyle w:val="ListParagraph"/>
        <w:numPr>
          <w:ilvl w:val="0"/>
          <w:numId w:val="2"/>
        </w:numPr>
        <w:spacing w:before="40" w:after="40" w:line="276" w:lineRule="auto"/>
      </w:pPr>
      <w:r>
        <w:rPr>
          <w:b/>
          <w:bCs/>
        </w:rPr>
        <w:t xml:space="preserve">Collection notice — </w:t>
      </w:r>
      <w:r>
        <w:t>always provide the firm’s APP 5 collection notice at or before the time identification information is collected.</w:t>
      </w:r>
    </w:p>
    <w:p w14:paraId="053D53AE" w14:textId="77777777" w:rsidR="00614225" w:rsidRDefault="00000000">
      <w:pPr>
        <w:pStyle w:val="ListParagraph"/>
        <w:numPr>
          <w:ilvl w:val="0"/>
          <w:numId w:val="2"/>
        </w:numPr>
        <w:spacing w:before="40" w:after="40" w:line="276" w:lineRule="auto"/>
      </w:pPr>
      <w:r>
        <w:rPr>
          <w:b/>
          <w:bCs/>
        </w:rPr>
        <w:t xml:space="preserve">Method of verification — </w:t>
      </w:r>
      <w:r>
        <w:t>explain the firm’s Verification of Identity system and which documents can be accepted.</w:t>
      </w:r>
    </w:p>
    <w:p w14:paraId="1CBFEEE3" w14:textId="77777777" w:rsidR="00614225" w:rsidRDefault="00000000">
      <w:pPr>
        <w:pStyle w:val="ListParagraph"/>
        <w:numPr>
          <w:ilvl w:val="0"/>
          <w:numId w:val="2"/>
        </w:numPr>
        <w:spacing w:before="40" w:after="40" w:line="276" w:lineRule="auto"/>
      </w:pPr>
      <w:r>
        <w:rPr>
          <w:b/>
          <w:bCs/>
        </w:rPr>
        <w:t xml:space="preserve">Physical handling — </w:t>
      </w:r>
      <w:r>
        <w:t>do not photograph identification on personal devices; do not send identification documents by ordinary email; store physical copies securely until scanned and destroyed. Ideally this should not require keeping copies of ID documents — for example, it may be permissible to establish identity by recording the ID document number and the person’s name (subject to PEXA / ARNECC requirements).</w:t>
      </w:r>
    </w:p>
    <w:p w14:paraId="45B7BA50" w14:textId="4CC6711E" w:rsidR="00614225" w:rsidRDefault="00000000" w:rsidP="00464828">
      <w:pPr>
        <w:pStyle w:val="ListParagraph"/>
        <w:numPr>
          <w:ilvl w:val="0"/>
          <w:numId w:val="2"/>
        </w:numPr>
        <w:spacing w:before="40" w:after="40" w:line="276" w:lineRule="auto"/>
      </w:pPr>
      <w:r>
        <w:rPr>
          <w:b/>
          <w:bCs/>
        </w:rPr>
        <w:lastRenderedPageBreak/>
        <w:t xml:space="preserve">Sensitive information — </w:t>
      </w:r>
      <w:r>
        <w:t>beneficial-ownership data, PEP screening results and adverse media reports are sensitive and must be tightly access-controlled within the firm.</w:t>
      </w:r>
    </w:p>
    <w:p w14:paraId="34736348" w14:textId="77777777" w:rsidR="00614225" w:rsidRDefault="00000000">
      <w:pPr>
        <w:spacing w:before="60" w:after="60"/>
        <w:ind w:left="540"/>
      </w:pPr>
      <w:r>
        <w:rPr>
          <w:i/>
          <w:iCs/>
          <w:color w:val="666666"/>
          <w:sz w:val="20"/>
          <w:szCs w:val="20"/>
        </w:rPr>
        <w:t>If the firm retains full copies of identification documents, walk inductees through the access controls, retention schedule and destruction process for those records.</w:t>
      </w:r>
    </w:p>
    <w:p w14:paraId="49B4A14A" w14:textId="77777777" w:rsidR="00614225" w:rsidRDefault="00614225">
      <w:pPr>
        <w:spacing w:after="120" w:line="276" w:lineRule="auto"/>
      </w:pPr>
    </w:p>
    <w:p w14:paraId="319C6F72" w14:textId="77777777" w:rsidR="00614225" w:rsidRDefault="00000000">
      <w:pPr>
        <w:spacing w:before="240" w:after="80"/>
      </w:pPr>
      <w:r>
        <w:rPr>
          <w:b/>
          <w:bCs/>
          <w:color w:val="1F3864"/>
        </w:rPr>
        <w:t>7. What records to keep and how</w:t>
      </w:r>
      <w:r>
        <w:rPr>
          <w:rStyle w:val="FootnoteReference"/>
        </w:rPr>
        <w:footnoteReference w:id="9"/>
      </w:r>
    </w:p>
    <w:p w14:paraId="596C40E7" w14:textId="77777777" w:rsidR="00614225" w:rsidRDefault="00000000">
      <w:pPr>
        <w:spacing w:before="80" w:after="120" w:line="276" w:lineRule="auto"/>
      </w:pPr>
      <w:r>
        <w:t>There is a tension between minimising the personal information we hold (APP 11.2 requires destruction or de-identification when no longer needed) and the firm’s overlapping duty to preserve evidence and meet statutory retention requirements. Staff should know:</w:t>
      </w:r>
    </w:p>
    <w:p w14:paraId="2902CB9D" w14:textId="77777777" w:rsidR="00614225" w:rsidRDefault="00000000">
      <w:pPr>
        <w:pStyle w:val="ListParagraph"/>
        <w:numPr>
          <w:ilvl w:val="0"/>
          <w:numId w:val="2"/>
        </w:numPr>
        <w:spacing w:before="40" w:after="40" w:line="276" w:lineRule="auto"/>
      </w:pPr>
      <w:r>
        <w:t>all matter files (electronic and physical) are retained for at least seven years from the date the file was closed, unless a longer period applies;</w:t>
      </w:r>
    </w:p>
    <w:p w14:paraId="6B4A1CE0" w14:textId="77777777" w:rsidR="00614225" w:rsidRDefault="00000000">
      <w:pPr>
        <w:pStyle w:val="ListParagraph"/>
        <w:numPr>
          <w:ilvl w:val="0"/>
          <w:numId w:val="2"/>
        </w:numPr>
        <w:spacing w:before="40" w:after="40" w:line="276" w:lineRule="auto"/>
      </w:pPr>
      <w:r>
        <w:t>CDD records under the AML/CTF Act are retained for seven years after the end of the customer relationship or the transaction;</w:t>
      </w:r>
    </w:p>
    <w:p w14:paraId="1542AB39" w14:textId="77777777" w:rsidR="00614225" w:rsidRDefault="00000000">
      <w:pPr>
        <w:pStyle w:val="ListParagraph"/>
        <w:numPr>
          <w:ilvl w:val="0"/>
          <w:numId w:val="2"/>
        </w:numPr>
        <w:spacing w:before="40" w:after="40" w:line="276" w:lineRule="auto"/>
      </w:pPr>
      <w:r>
        <w:t>some files require longer retention — wills, trusts, children’s matters, estate matters with continuing interests, and certain conveyancing records;</w:t>
      </w:r>
    </w:p>
    <w:p w14:paraId="39AF6846" w14:textId="77777777" w:rsidR="00614225" w:rsidRDefault="00000000">
      <w:pPr>
        <w:pStyle w:val="ListParagraph"/>
        <w:numPr>
          <w:ilvl w:val="0"/>
          <w:numId w:val="2"/>
        </w:numPr>
        <w:spacing w:before="40" w:after="40" w:line="276" w:lineRule="auto"/>
      </w:pPr>
      <w:r>
        <w:t>know and comply with the firm’s &lt;&lt;document retention policy&gt;&gt;;</w:t>
      </w:r>
    </w:p>
    <w:p w14:paraId="1940129C" w14:textId="77777777" w:rsidR="00614225" w:rsidRDefault="00000000">
      <w:pPr>
        <w:pStyle w:val="ListParagraph"/>
        <w:numPr>
          <w:ilvl w:val="0"/>
          <w:numId w:val="2"/>
        </w:numPr>
        <w:spacing w:before="40" w:after="40" w:line="276" w:lineRule="auto"/>
      </w:pPr>
      <w:r>
        <w:t>closed files are allocated a destruction date covering both electronic and physical copies;</w:t>
      </w:r>
    </w:p>
    <w:p w14:paraId="61422387" w14:textId="181446ED" w:rsidR="00614225" w:rsidRDefault="00000000" w:rsidP="00464828">
      <w:pPr>
        <w:pStyle w:val="ListParagraph"/>
        <w:numPr>
          <w:ilvl w:val="0"/>
          <w:numId w:val="2"/>
        </w:numPr>
        <w:spacing w:before="40" w:after="40" w:line="276" w:lineRule="auto"/>
      </w:pPr>
      <w:r>
        <w:t>safe-custody and long-term archive records are stored separately under the firm’s long-term retention process.</w:t>
      </w:r>
    </w:p>
    <w:p w14:paraId="4159CDAE" w14:textId="77777777" w:rsidR="00614225" w:rsidRDefault="00000000">
      <w:pPr>
        <w:spacing w:before="60" w:after="60"/>
        <w:ind w:left="540"/>
      </w:pPr>
      <w:r>
        <w:rPr>
          <w:i/>
          <w:iCs/>
          <w:color w:val="666666"/>
          <w:sz w:val="20"/>
          <w:szCs w:val="20"/>
        </w:rPr>
        <w:t>Confirm staff know where to find the firm’s retention manual and how to note destruction requirements for each record.</w:t>
      </w:r>
    </w:p>
    <w:p w14:paraId="2D346BAC" w14:textId="77777777" w:rsidR="00614225" w:rsidRDefault="00614225">
      <w:pPr>
        <w:spacing w:after="120" w:line="276" w:lineRule="auto"/>
      </w:pPr>
    </w:p>
    <w:p w14:paraId="4F1368B2" w14:textId="77777777" w:rsidR="00614225" w:rsidRDefault="00000000">
      <w:pPr>
        <w:spacing w:before="240" w:after="80"/>
      </w:pPr>
      <w:r>
        <w:rPr>
          <w:b/>
          <w:bCs/>
          <w:color w:val="1F3864"/>
        </w:rPr>
        <w:t>8. Other security policies</w:t>
      </w:r>
      <w:r>
        <w:rPr>
          <w:rStyle w:val="FootnoteReference"/>
        </w:rPr>
        <w:footnoteReference w:id="10"/>
      </w:r>
    </w:p>
    <w:p w14:paraId="36A44BE2" w14:textId="77777777" w:rsidR="00614225" w:rsidRDefault="00000000">
      <w:pPr>
        <w:spacing w:before="80" w:after="120" w:line="276" w:lineRule="auto"/>
      </w:pPr>
      <w:r>
        <w:t>If not already covered, ensure the training covers basic firm policies such as:</w:t>
      </w:r>
    </w:p>
    <w:p w14:paraId="57FFE10F" w14:textId="77777777" w:rsidR="00614225" w:rsidRDefault="00000000">
      <w:pPr>
        <w:pStyle w:val="ListParagraph"/>
        <w:numPr>
          <w:ilvl w:val="0"/>
          <w:numId w:val="2"/>
        </w:numPr>
        <w:spacing w:before="40" w:after="40" w:line="276" w:lineRule="auto"/>
      </w:pPr>
      <w:r>
        <w:t>password and authentication policy (including MFA on all firm systems);</w:t>
      </w:r>
    </w:p>
    <w:p w14:paraId="0E69F2FD" w14:textId="77777777" w:rsidR="00614225" w:rsidRDefault="00000000">
      <w:pPr>
        <w:pStyle w:val="ListParagraph"/>
        <w:numPr>
          <w:ilvl w:val="0"/>
          <w:numId w:val="2"/>
        </w:numPr>
        <w:spacing w:before="40" w:after="40" w:line="276" w:lineRule="auto"/>
      </w:pPr>
      <w:r>
        <w:t>approved AI tools list, AI use guardrails and AI disclosure procedure;</w:t>
      </w:r>
    </w:p>
    <w:p w14:paraId="119B9507" w14:textId="77777777" w:rsidR="00614225" w:rsidRDefault="00000000">
      <w:pPr>
        <w:pStyle w:val="ListParagraph"/>
        <w:numPr>
          <w:ilvl w:val="0"/>
          <w:numId w:val="2"/>
        </w:numPr>
        <w:spacing w:before="40" w:after="40" w:line="276" w:lineRule="auto"/>
      </w:pPr>
      <w:r>
        <w:t>acceptable use policy for personally owned devices (BYOD);</w:t>
      </w:r>
    </w:p>
    <w:p w14:paraId="18B0DB1A" w14:textId="77777777" w:rsidR="00614225" w:rsidRDefault="00000000">
      <w:pPr>
        <w:pStyle w:val="ListParagraph"/>
        <w:numPr>
          <w:ilvl w:val="0"/>
          <w:numId w:val="2"/>
        </w:numPr>
        <w:spacing w:before="40" w:after="40" w:line="276" w:lineRule="auto"/>
      </w:pPr>
      <w:r>
        <w:t>clean desk and screen-locking standards;</w:t>
      </w:r>
    </w:p>
    <w:p w14:paraId="53D238B4" w14:textId="77777777" w:rsidR="00614225" w:rsidRDefault="00000000">
      <w:pPr>
        <w:pStyle w:val="ListParagraph"/>
        <w:numPr>
          <w:ilvl w:val="0"/>
          <w:numId w:val="2"/>
        </w:numPr>
        <w:spacing w:before="40" w:after="40" w:line="276" w:lineRule="auto"/>
      </w:pPr>
      <w:r>
        <w:t xml:space="preserve">key holder and locking responsibilities, cash handling, safe </w:t>
      </w:r>
      <w:proofErr w:type="gramStart"/>
      <w:r>
        <w:t>car-park</w:t>
      </w:r>
      <w:proofErr w:type="gramEnd"/>
      <w:r>
        <w:t xml:space="preserve"> and after-hours access;</w:t>
      </w:r>
    </w:p>
    <w:p w14:paraId="2FFFC8AE" w14:textId="484505C7" w:rsidR="00614225" w:rsidRDefault="00000000" w:rsidP="00464828">
      <w:pPr>
        <w:pStyle w:val="ListParagraph"/>
        <w:numPr>
          <w:ilvl w:val="0"/>
          <w:numId w:val="2"/>
        </w:numPr>
        <w:spacing w:before="40" w:after="40" w:line="276" w:lineRule="auto"/>
      </w:pPr>
      <w:r>
        <w:t>confidentiality and privacy obligations in the staff employment agreement.</w:t>
      </w:r>
    </w:p>
    <w:p w14:paraId="02C290A2" w14:textId="77777777" w:rsidR="00614225" w:rsidRDefault="00000000">
      <w:pPr>
        <w:spacing w:before="240" w:after="80"/>
      </w:pPr>
      <w:r>
        <w:rPr>
          <w:b/>
          <w:bCs/>
          <w:color w:val="1F3864"/>
        </w:rPr>
        <w:t>9. If things go wrong</w:t>
      </w:r>
      <w:r>
        <w:rPr>
          <w:rStyle w:val="FootnoteReference"/>
        </w:rPr>
        <w:footnoteReference w:id="11"/>
      </w:r>
    </w:p>
    <w:p w14:paraId="7D334D05" w14:textId="77777777" w:rsidR="00614225" w:rsidRDefault="00000000">
      <w:pPr>
        <w:spacing w:before="80" w:after="120" w:line="276" w:lineRule="auto"/>
      </w:pPr>
      <w:r>
        <w:t>Staff must report any suspected privacy or cyber incident immediately — the first hour after an incident is the most important. The firm’s data breach response plan applies.</w:t>
      </w:r>
    </w:p>
    <w:p w14:paraId="341EC589" w14:textId="77777777" w:rsidR="00614225" w:rsidRDefault="00614225">
      <w:pPr>
        <w:spacing w:after="60" w:line="276" w:lineRule="auto"/>
      </w:pPr>
    </w:p>
    <w:p w14:paraId="1B8CE7F9" w14:textId="77777777" w:rsidR="00614225" w:rsidRDefault="00000000">
      <w:pPr>
        <w:pStyle w:val="ListParagraph"/>
        <w:numPr>
          <w:ilvl w:val="0"/>
          <w:numId w:val="2"/>
        </w:numPr>
        <w:spacing w:before="40" w:after="40" w:line="276" w:lineRule="auto"/>
      </w:pPr>
      <w:r>
        <w:lastRenderedPageBreak/>
        <w:t>Report immediately to the Privacy Officer or the Principal.</w:t>
      </w:r>
    </w:p>
    <w:p w14:paraId="07ABEEB6" w14:textId="77777777" w:rsidR="00614225" w:rsidRDefault="00000000">
      <w:pPr>
        <w:pStyle w:val="ListParagraph"/>
        <w:numPr>
          <w:ilvl w:val="0"/>
          <w:numId w:val="2"/>
        </w:numPr>
        <w:spacing w:before="40" w:after="40" w:line="276" w:lineRule="auto"/>
      </w:pPr>
      <w:r>
        <w:t>Do not attempt to investigate or remediate alone — follow the escalation steps in the response plan.</w:t>
      </w:r>
    </w:p>
    <w:p w14:paraId="69F178E2" w14:textId="77777777" w:rsidR="00614225" w:rsidRDefault="00000000">
      <w:pPr>
        <w:pStyle w:val="ListParagraph"/>
        <w:numPr>
          <w:ilvl w:val="0"/>
          <w:numId w:val="2"/>
        </w:numPr>
        <w:spacing w:before="40" w:after="40" w:line="276" w:lineRule="auto"/>
      </w:pPr>
      <w:r>
        <w:t xml:space="preserve">Preserve evidence without allowing an infection to spread. A device which may be compromised should </w:t>
      </w:r>
      <w:proofErr w:type="gramStart"/>
      <w:r>
        <w:t>be:</w:t>
      </w:r>
      <w:proofErr w:type="gramEnd"/>
      <w:r>
        <w:t xml:space="preserve"> disconnected from </w:t>
      </w:r>
      <w:proofErr w:type="spellStart"/>
      <w:r>
        <w:t>WiFi</w:t>
      </w:r>
      <w:proofErr w:type="spellEnd"/>
      <w:r>
        <w:t xml:space="preserve"> and any network cables; left running; and not used to change passwords or communicate with third parties.</w:t>
      </w:r>
    </w:p>
    <w:p w14:paraId="6FB75BDA" w14:textId="77777777" w:rsidR="00614225" w:rsidRDefault="00000000">
      <w:pPr>
        <w:pStyle w:val="ListParagraph"/>
        <w:numPr>
          <w:ilvl w:val="0"/>
          <w:numId w:val="2"/>
        </w:numPr>
        <w:spacing w:before="40" w:after="40" w:line="276" w:lineRule="auto"/>
      </w:pPr>
      <w:r>
        <w:t>Do not make any disclosures about the incident without permission.</w:t>
      </w:r>
    </w:p>
    <w:p w14:paraId="3A5202CA" w14:textId="2CDA0ED2" w:rsidR="00614225" w:rsidRDefault="00000000" w:rsidP="00464828">
      <w:pPr>
        <w:pStyle w:val="ListParagraph"/>
        <w:numPr>
          <w:ilvl w:val="0"/>
          <w:numId w:val="2"/>
        </w:numPr>
        <w:spacing w:before="40" w:after="40" w:line="276" w:lineRule="auto"/>
      </w:pPr>
      <w:r>
        <w:rPr>
          <w:b/>
          <w:bCs/>
        </w:rPr>
        <w:t xml:space="preserve">HOWEVER — </w:t>
      </w:r>
      <w:r>
        <w:t>the client must know immediately if money has or may have been diverted. Get a supervisor’s assistance at once. &lt;&lt;Describe firm policy for instructing the bank to recover funds. Even minutes count if stolen funds are moving.&gt;&gt;</w:t>
      </w:r>
    </w:p>
    <w:p w14:paraId="7741C36A" w14:textId="77777777" w:rsidR="00614225" w:rsidRDefault="00000000">
      <w:pPr>
        <w:spacing w:before="60" w:after="60"/>
        <w:ind w:left="540"/>
      </w:pPr>
      <w:r>
        <w:rPr>
          <w:i/>
          <w:iCs/>
          <w:color w:val="666666"/>
          <w:sz w:val="20"/>
          <w:szCs w:val="20"/>
        </w:rPr>
        <w:t>Walk staff through the firm’s incident response plan — in particular who they need to contact, and the after-hours pathway.</w:t>
      </w:r>
    </w:p>
    <w:p w14:paraId="30F2B704" w14:textId="77777777" w:rsidR="00614225" w:rsidRDefault="00614225">
      <w:pPr>
        <w:spacing w:after="120" w:line="276" w:lineRule="auto"/>
      </w:pPr>
    </w:p>
    <w:p w14:paraId="6A63D184" w14:textId="77777777" w:rsidR="00614225" w:rsidRDefault="00000000">
      <w:pPr>
        <w:spacing w:before="280" w:after="120"/>
      </w:pPr>
      <w:r>
        <w:rPr>
          <w:b/>
          <w:bCs/>
          <w:color w:val="1F3864"/>
          <w:sz w:val="24"/>
          <w:szCs w:val="24"/>
        </w:rPr>
        <w:t>Training delivery methods</w:t>
      </w:r>
    </w:p>
    <w:p w14:paraId="1269B695" w14:textId="77777777" w:rsidR="00614225" w:rsidRDefault="00000000">
      <w:pPr>
        <w:pStyle w:val="ListParagraph"/>
        <w:numPr>
          <w:ilvl w:val="0"/>
          <w:numId w:val="2"/>
        </w:numPr>
        <w:spacing w:before="40" w:after="40" w:line="276" w:lineRule="auto"/>
      </w:pPr>
      <w:r>
        <w:rPr>
          <w:b/>
          <w:bCs/>
        </w:rPr>
        <w:t xml:space="preserve">In-person sessions — </w:t>
      </w:r>
      <w:r>
        <w:t>best for the initial module; allow questions, scenario discussion and confirmation of understanding.</w:t>
      </w:r>
    </w:p>
    <w:p w14:paraId="7C8E2EBE" w14:textId="77777777" w:rsidR="00614225" w:rsidRDefault="00000000">
      <w:pPr>
        <w:pStyle w:val="ListParagraph"/>
        <w:numPr>
          <w:ilvl w:val="0"/>
          <w:numId w:val="2"/>
        </w:numPr>
        <w:spacing w:before="40" w:after="40" w:line="276" w:lineRule="auto"/>
      </w:pPr>
      <w:r>
        <w:rPr>
          <w:b/>
          <w:bCs/>
        </w:rPr>
        <w:t xml:space="preserve">Recorded modules — </w:t>
      </w:r>
      <w:r>
        <w:t>suitable for new starters between scheduled sessions, provided the recording is supplemented with a live or asynchronous question opportunity covering the firm’s specific systems.</w:t>
      </w:r>
    </w:p>
    <w:p w14:paraId="75A42D33" w14:textId="77777777" w:rsidR="00614225" w:rsidRDefault="00000000">
      <w:pPr>
        <w:pStyle w:val="ListParagraph"/>
        <w:numPr>
          <w:ilvl w:val="0"/>
          <w:numId w:val="2"/>
        </w:numPr>
        <w:spacing w:before="40" w:after="40" w:line="276" w:lineRule="auto"/>
      </w:pPr>
      <w:r>
        <w:rPr>
          <w:b/>
          <w:bCs/>
        </w:rPr>
        <w:t xml:space="preserve">Scenario exercises — </w:t>
      </w:r>
      <w:r>
        <w:t>use realistic scenarios drawn from the firm’s practice areas (a misdirected email, a social-engineering phone call, an apparent stolen-funds scenario, a client request for access).</w:t>
      </w:r>
    </w:p>
    <w:p w14:paraId="3666F93C" w14:textId="77777777" w:rsidR="00614225" w:rsidRDefault="00000000">
      <w:pPr>
        <w:pStyle w:val="ListParagraph"/>
        <w:numPr>
          <w:ilvl w:val="0"/>
          <w:numId w:val="2"/>
        </w:numPr>
        <w:spacing w:before="40" w:after="40" w:line="276" w:lineRule="auto"/>
      </w:pPr>
      <w:r>
        <w:rPr>
          <w:b/>
          <w:bCs/>
        </w:rPr>
        <w:t xml:space="preserve">Quick reference guides — </w:t>
      </w:r>
      <w:r>
        <w:t xml:space="preserve">desk cards summarising the </w:t>
      </w:r>
      <w:proofErr w:type="gramStart"/>
      <w:r>
        <w:t>do’s</w:t>
      </w:r>
      <w:proofErr w:type="gramEnd"/>
      <w:r>
        <w:t xml:space="preserve"> and don’ts, the incident hotline and the names of the Privacy Officer and IT lead.</w:t>
      </w:r>
    </w:p>
    <w:p w14:paraId="27744871" w14:textId="77777777" w:rsidR="00614225" w:rsidRDefault="00000000">
      <w:pPr>
        <w:pStyle w:val="ListParagraph"/>
        <w:numPr>
          <w:ilvl w:val="0"/>
          <w:numId w:val="2"/>
        </w:numPr>
        <w:spacing w:before="40" w:after="40" w:line="276" w:lineRule="auto"/>
      </w:pPr>
      <w:r>
        <w:rPr>
          <w:b/>
          <w:bCs/>
        </w:rPr>
        <w:t xml:space="preserve">Knowledge check — </w:t>
      </w:r>
      <w:r>
        <w:t>a short quiz or attestation at the end of each module, retained in the training register.</w:t>
      </w:r>
    </w:p>
    <w:p w14:paraId="330BE221" w14:textId="77777777" w:rsidR="00614225" w:rsidRDefault="00000000">
      <w:pPr>
        <w:spacing w:line="276" w:lineRule="auto"/>
      </w:pPr>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14225" w14:paraId="6FB9F925" w14:textId="77777777">
        <w:tblPrEx>
          <w:tblCellMar>
            <w:top w:w="0" w:type="dxa"/>
            <w:bottom w:w="0" w:type="dxa"/>
          </w:tblCellMar>
        </w:tblPrEx>
        <w:tc>
          <w:tcPr>
            <w:tcW w:w="9026" w:type="dxa"/>
            <w:shd w:val="clear" w:color="auto" w:fill="2F5496"/>
            <w:tcMar>
              <w:top w:w="120" w:type="dxa"/>
              <w:left w:w="200" w:type="dxa"/>
              <w:bottom w:w="120" w:type="dxa"/>
              <w:right w:w="200" w:type="dxa"/>
            </w:tcMar>
          </w:tcPr>
          <w:p w14:paraId="69EEE5FA" w14:textId="77777777" w:rsidR="00614225" w:rsidRDefault="00000000">
            <w:r>
              <w:rPr>
                <w:b/>
                <w:bCs/>
                <w:color w:val="FFFFFF"/>
                <w:sz w:val="28"/>
                <w:szCs w:val="28"/>
              </w:rPr>
              <w:lastRenderedPageBreak/>
              <w:t>Module 2</w:t>
            </w:r>
          </w:p>
          <w:p w14:paraId="0CF9876F" w14:textId="77777777" w:rsidR="00614225" w:rsidRDefault="00000000">
            <w:pPr>
              <w:spacing w:before="40" w:after="40"/>
            </w:pPr>
            <w:r>
              <w:rPr>
                <w:color w:val="FFFFFF"/>
              </w:rPr>
              <w:t>Annual Privacy and Confidentiality Refresher</w:t>
            </w:r>
          </w:p>
          <w:p w14:paraId="5BCD581B" w14:textId="77777777" w:rsidR="00614225" w:rsidRDefault="00000000">
            <w:r>
              <w:rPr>
                <w:i/>
                <w:iCs/>
                <w:color w:val="EEF4FB"/>
                <w:sz w:val="20"/>
                <w:szCs w:val="20"/>
              </w:rPr>
              <w:t>Duration: 20–30 minutes</w:t>
            </w:r>
          </w:p>
        </w:tc>
      </w:tr>
    </w:tbl>
    <w:p w14:paraId="7B32F028" w14:textId="77777777" w:rsidR="00614225" w:rsidRDefault="00000000">
      <w:pPr>
        <w:spacing w:before="280" w:after="120"/>
      </w:pPr>
      <w:r>
        <w:rPr>
          <w:b/>
          <w:bCs/>
          <w:color w:val="1F3864"/>
          <w:sz w:val="24"/>
          <w:szCs w:val="24"/>
        </w:rPr>
        <w:t>Purpose of the refresher</w:t>
      </w:r>
      <w:r>
        <w:rPr>
          <w:rStyle w:val="FootnoteReference"/>
        </w:rPr>
        <w:footnoteReference w:id="12"/>
      </w:r>
    </w:p>
    <w:p w14:paraId="25DB3789" w14:textId="77280443" w:rsidR="00614225" w:rsidRDefault="00000000" w:rsidP="00464828">
      <w:pPr>
        <w:spacing w:before="80" w:after="120" w:line="276" w:lineRule="auto"/>
      </w:pPr>
      <w:r>
        <w:t>The annual refresher is not a re-run of Module 1. Its purpose is to reinforce the privacy culture across the firm, update staff on changes to law, regulator guidance and firm policy in the preceding year, and test recall and decision-making in the areas where incidents are most likely to arise. Where there has been a material incident or a substantive policy change, the refresher should be supplemented by a targeted session rather than deferred to the annual cycle.</w:t>
      </w:r>
    </w:p>
    <w:p w14:paraId="65EE4AA0" w14:textId="77777777" w:rsidR="00614225" w:rsidRDefault="00000000">
      <w:pPr>
        <w:spacing w:before="280" w:after="120"/>
      </w:pPr>
      <w:r>
        <w:rPr>
          <w:b/>
          <w:bCs/>
          <w:color w:val="1F3864"/>
          <w:sz w:val="24"/>
          <w:szCs w:val="24"/>
        </w:rPr>
        <w:t>Learning objectives</w:t>
      </w:r>
    </w:p>
    <w:p w14:paraId="01B1BD63" w14:textId="77777777" w:rsidR="00614225" w:rsidRDefault="00000000">
      <w:pPr>
        <w:spacing w:before="80" w:after="120" w:line="276" w:lineRule="auto"/>
      </w:pPr>
      <w:r>
        <w:t>By the end of this module, participants should be able to:</w:t>
      </w:r>
    </w:p>
    <w:p w14:paraId="1ABB299A" w14:textId="77777777" w:rsidR="00614225" w:rsidRDefault="00000000">
      <w:pPr>
        <w:pStyle w:val="ListParagraph"/>
        <w:numPr>
          <w:ilvl w:val="0"/>
          <w:numId w:val="2"/>
        </w:numPr>
        <w:spacing w:before="40" w:after="40" w:line="276" w:lineRule="auto"/>
      </w:pPr>
      <w:r>
        <w:t>identify changes in law, regulator guidance or firm policy since the last refresher;</w:t>
      </w:r>
    </w:p>
    <w:p w14:paraId="1937B9FD" w14:textId="77777777" w:rsidR="00614225" w:rsidRDefault="00000000">
      <w:pPr>
        <w:pStyle w:val="ListParagraph"/>
        <w:numPr>
          <w:ilvl w:val="0"/>
          <w:numId w:val="2"/>
        </w:numPr>
        <w:spacing w:before="40" w:after="40" w:line="276" w:lineRule="auto"/>
      </w:pPr>
      <w:r>
        <w:t>apply the firm’s policies to current, realistic scenarios — including scenarios drawn from incidents in the preceding year;</w:t>
      </w:r>
    </w:p>
    <w:p w14:paraId="09E6DC81" w14:textId="77777777" w:rsidR="00614225" w:rsidRDefault="00000000">
      <w:pPr>
        <w:pStyle w:val="ListParagraph"/>
        <w:numPr>
          <w:ilvl w:val="0"/>
          <w:numId w:val="2"/>
        </w:numPr>
        <w:spacing w:before="40" w:after="40" w:line="276" w:lineRule="auto"/>
      </w:pPr>
      <w:r>
        <w:t>recognise emerging risks (notably from AI, deepfakes, social engineering and supply-chain compromise) and respond appropriately; and</w:t>
      </w:r>
    </w:p>
    <w:p w14:paraId="1361AAD9" w14:textId="511D969E" w:rsidR="00614225" w:rsidRDefault="00000000" w:rsidP="00464828">
      <w:pPr>
        <w:pStyle w:val="ListParagraph"/>
        <w:numPr>
          <w:ilvl w:val="0"/>
          <w:numId w:val="2"/>
        </w:numPr>
        <w:spacing w:before="40" w:after="40" w:line="276" w:lineRule="auto"/>
      </w:pPr>
      <w:r>
        <w:t>re-confirm familiarity with escalation pathways and the firm’s incident response plan.</w:t>
      </w:r>
    </w:p>
    <w:p w14:paraId="24E3FAE9" w14:textId="77777777" w:rsidR="00614225" w:rsidRDefault="00000000">
      <w:pPr>
        <w:spacing w:before="280" w:after="120"/>
      </w:pPr>
      <w:r>
        <w:rPr>
          <w:b/>
          <w:bCs/>
          <w:color w:val="1F3864"/>
          <w:sz w:val="24"/>
          <w:szCs w:val="24"/>
        </w:rPr>
        <w:t>Training content</w:t>
      </w:r>
    </w:p>
    <w:p w14:paraId="591D7956" w14:textId="77777777" w:rsidR="00614225" w:rsidRDefault="00000000">
      <w:pPr>
        <w:spacing w:before="240" w:after="80"/>
      </w:pPr>
      <w:r>
        <w:rPr>
          <w:b/>
          <w:bCs/>
          <w:color w:val="1F3864"/>
        </w:rPr>
        <w:t>1. What has changed in the past year</w:t>
      </w:r>
      <w:r>
        <w:rPr>
          <w:rStyle w:val="FootnoteReference"/>
        </w:rPr>
        <w:footnoteReference w:id="13"/>
      </w:r>
    </w:p>
    <w:p w14:paraId="5AC4B706" w14:textId="77777777" w:rsidR="00614225" w:rsidRDefault="00000000">
      <w:pPr>
        <w:spacing w:before="80" w:after="120" w:line="276" w:lineRule="auto"/>
      </w:pPr>
      <w:r>
        <w:t>A short summary of:</w:t>
      </w:r>
    </w:p>
    <w:p w14:paraId="47AE58C4" w14:textId="77777777" w:rsidR="00614225" w:rsidRDefault="00000000">
      <w:pPr>
        <w:pStyle w:val="ListParagraph"/>
        <w:numPr>
          <w:ilvl w:val="0"/>
          <w:numId w:val="2"/>
        </w:numPr>
        <w:spacing w:before="40" w:after="40" w:line="276" w:lineRule="auto"/>
      </w:pPr>
      <w:r>
        <w:t>amendments to the Privacy Act and APPs;</w:t>
      </w:r>
    </w:p>
    <w:p w14:paraId="06902D26" w14:textId="77777777" w:rsidR="00614225" w:rsidRDefault="00000000">
      <w:pPr>
        <w:pStyle w:val="ListParagraph"/>
        <w:numPr>
          <w:ilvl w:val="0"/>
          <w:numId w:val="2"/>
        </w:numPr>
        <w:spacing w:before="40" w:after="40" w:line="276" w:lineRule="auto"/>
      </w:pPr>
      <w:r>
        <w:t>OAIC guidance issued or updated since the last refresher (</w:t>
      </w:r>
      <w:proofErr w:type="gramStart"/>
      <w:r>
        <w:t>in particular updates</w:t>
      </w:r>
      <w:proofErr w:type="gramEnd"/>
      <w:r>
        <w:t xml:space="preserve"> to the APP Guidelines, the Guide to Securing Personal Information, and the Privacy Management Framework);</w:t>
      </w:r>
    </w:p>
    <w:p w14:paraId="6420CB64" w14:textId="77777777" w:rsidR="00614225" w:rsidRDefault="00000000">
      <w:pPr>
        <w:pStyle w:val="ListParagraph"/>
        <w:numPr>
          <w:ilvl w:val="0"/>
          <w:numId w:val="2"/>
        </w:numPr>
        <w:spacing w:before="40" w:after="40" w:line="276" w:lineRule="auto"/>
      </w:pPr>
      <w:r>
        <w:t>any changes in the firm’s network and how to use it safely;</w:t>
      </w:r>
    </w:p>
    <w:p w14:paraId="5927AB32" w14:textId="77777777" w:rsidR="00614225" w:rsidRDefault="00000000">
      <w:pPr>
        <w:pStyle w:val="ListParagraph"/>
        <w:numPr>
          <w:ilvl w:val="0"/>
          <w:numId w:val="2"/>
        </w:numPr>
        <w:spacing w:before="40" w:after="40" w:line="276" w:lineRule="auto"/>
      </w:pPr>
      <w:r>
        <w:t>a few recent examples of data breaches affecting law firms;</w:t>
      </w:r>
    </w:p>
    <w:p w14:paraId="61DF7E45" w14:textId="77777777" w:rsidR="00614225" w:rsidRDefault="00000000">
      <w:pPr>
        <w:pStyle w:val="ListParagraph"/>
        <w:numPr>
          <w:ilvl w:val="0"/>
          <w:numId w:val="2"/>
        </w:numPr>
        <w:spacing w:before="40" w:after="40" w:line="276" w:lineRule="auto"/>
      </w:pPr>
      <w:r>
        <w:t>any updates to the firm’s privacy policy, collection notices, retention schedule, AI policy or breach response plan; and</w:t>
      </w:r>
    </w:p>
    <w:p w14:paraId="55FC067D" w14:textId="77777777" w:rsidR="00614225" w:rsidRDefault="00000000">
      <w:pPr>
        <w:pStyle w:val="ListParagraph"/>
        <w:numPr>
          <w:ilvl w:val="0"/>
          <w:numId w:val="2"/>
        </w:numPr>
        <w:spacing w:before="40" w:after="40" w:line="276" w:lineRule="auto"/>
      </w:pPr>
      <w:r>
        <w:t>any approved or de-approved technology platforms used at the firm.</w:t>
      </w:r>
    </w:p>
    <w:p w14:paraId="3640BA4A" w14:textId="77777777" w:rsidR="00614225" w:rsidRDefault="00000000">
      <w:pPr>
        <w:spacing w:before="240" w:after="80"/>
      </w:pPr>
      <w:r>
        <w:rPr>
          <w:b/>
          <w:bCs/>
          <w:color w:val="1F3864"/>
        </w:rPr>
        <w:t>2. Incident review</w:t>
      </w:r>
    </w:p>
    <w:p w14:paraId="6C37784E" w14:textId="6FFF8BA5" w:rsidR="00614225" w:rsidRDefault="00000000">
      <w:pPr>
        <w:spacing w:before="80" w:after="120" w:line="276" w:lineRule="auto"/>
      </w:pPr>
      <w:r>
        <w:t>A de-identified summary of incidents, near misses and lessons learned in the preceding year. This is one of the most effective elements of refresher training and should be retained even where the firm has had no notifiable breaches</w:t>
      </w:r>
      <w:r w:rsidR="00464828">
        <w:t>. N</w:t>
      </w:r>
      <w:r>
        <w:t>ear misses are equally instructive.</w:t>
      </w:r>
    </w:p>
    <w:p w14:paraId="270F36DB" w14:textId="77777777" w:rsidR="00614225" w:rsidRDefault="00000000">
      <w:pPr>
        <w:pStyle w:val="ListParagraph"/>
        <w:numPr>
          <w:ilvl w:val="0"/>
          <w:numId w:val="2"/>
        </w:numPr>
        <w:spacing w:before="40" w:after="40" w:line="276" w:lineRule="auto"/>
      </w:pPr>
      <w:r>
        <w:lastRenderedPageBreak/>
        <w:t>near-miss patterns (misdirected emails caught before send, suspicious payment-instruction emails identified before action, lost devices recovered);</w:t>
      </w:r>
    </w:p>
    <w:p w14:paraId="0DB84667" w14:textId="77777777" w:rsidR="00614225" w:rsidRDefault="00000000">
      <w:pPr>
        <w:pStyle w:val="ListParagraph"/>
        <w:numPr>
          <w:ilvl w:val="0"/>
          <w:numId w:val="2"/>
        </w:numPr>
        <w:spacing w:before="40" w:after="40" w:line="276" w:lineRule="auto"/>
      </w:pPr>
      <w:r>
        <w:t>any notifiable data breaches and the outcome of post-incident review;</w:t>
      </w:r>
    </w:p>
    <w:p w14:paraId="7171A4E6" w14:textId="77777777" w:rsidR="00614225" w:rsidRDefault="00000000">
      <w:pPr>
        <w:pStyle w:val="ListParagraph"/>
        <w:numPr>
          <w:ilvl w:val="0"/>
          <w:numId w:val="2"/>
        </w:numPr>
        <w:spacing w:before="40" w:after="40" w:line="276" w:lineRule="auto"/>
      </w:pPr>
      <w:r>
        <w:t>any access or correction requests received under APP 12 or APP 13 and how they were handled;</w:t>
      </w:r>
      <w:r>
        <w:rPr>
          <w:rStyle w:val="FootnoteReference"/>
        </w:rPr>
        <w:footnoteReference w:id="14"/>
      </w:r>
    </w:p>
    <w:p w14:paraId="2FCFF056" w14:textId="77777777" w:rsidR="00614225" w:rsidRDefault="00000000">
      <w:pPr>
        <w:pStyle w:val="ListParagraph"/>
        <w:numPr>
          <w:ilvl w:val="0"/>
          <w:numId w:val="2"/>
        </w:numPr>
        <w:spacing w:before="40" w:after="40" w:line="276" w:lineRule="auto"/>
      </w:pPr>
      <w:r>
        <w:t>any privacy complaints received and the outcome; and</w:t>
      </w:r>
    </w:p>
    <w:p w14:paraId="5743D28E" w14:textId="77777777" w:rsidR="00614225" w:rsidRDefault="00000000">
      <w:pPr>
        <w:pStyle w:val="ListParagraph"/>
        <w:numPr>
          <w:ilvl w:val="0"/>
          <w:numId w:val="2"/>
        </w:numPr>
        <w:spacing w:before="40" w:after="40" w:line="276" w:lineRule="auto"/>
      </w:pPr>
      <w:r>
        <w:t>themes from any regulator interaction (OAIC, AUSTRAC, ARNECC, QLS, the Legal Services Commissioner).</w:t>
      </w:r>
    </w:p>
    <w:p w14:paraId="4E7EC611" w14:textId="77777777" w:rsidR="00614225" w:rsidRDefault="00000000">
      <w:pPr>
        <w:spacing w:before="60" w:after="60"/>
        <w:ind w:left="540"/>
      </w:pPr>
      <w:r>
        <w:rPr>
          <w:i/>
          <w:iCs/>
          <w:color w:val="666666"/>
          <w:sz w:val="20"/>
          <w:szCs w:val="20"/>
        </w:rPr>
        <w:t>De-identify all incidents and obtain Principal sign-off before discussing in a training context.</w:t>
      </w:r>
    </w:p>
    <w:p w14:paraId="70815D3A" w14:textId="77777777" w:rsidR="00614225" w:rsidRDefault="00614225">
      <w:pPr>
        <w:spacing w:after="100" w:line="276" w:lineRule="auto"/>
      </w:pPr>
    </w:p>
    <w:p w14:paraId="2DE27F38" w14:textId="77777777" w:rsidR="00614225" w:rsidRDefault="00000000">
      <w:pPr>
        <w:spacing w:before="240" w:after="80"/>
      </w:pPr>
      <w:r>
        <w:rPr>
          <w:b/>
          <w:bCs/>
          <w:color w:val="1F3864"/>
        </w:rPr>
        <w:t>3. Scenario exercises</w:t>
      </w:r>
    </w:p>
    <w:p w14:paraId="653758A4" w14:textId="77777777" w:rsidR="00614225" w:rsidRDefault="00000000">
      <w:pPr>
        <w:spacing w:before="80" w:after="120" w:line="276" w:lineRule="auto"/>
      </w:pPr>
      <w:r>
        <w:t>Use three or four short scenarios calibrated to the firm’s practice mix. The objective is decision-making practice, not testing. Suggested categories:</w:t>
      </w:r>
    </w:p>
    <w:p w14:paraId="1750687E" w14:textId="77777777" w:rsidR="00614225" w:rsidRDefault="00000000">
      <w:pPr>
        <w:pStyle w:val="ListParagraph"/>
        <w:numPr>
          <w:ilvl w:val="0"/>
          <w:numId w:val="2"/>
        </w:numPr>
        <w:spacing w:before="40" w:after="40" w:line="276" w:lineRule="auto"/>
      </w:pPr>
      <w:r>
        <w:rPr>
          <w:b/>
          <w:bCs/>
        </w:rPr>
        <w:t xml:space="preserve">Misdirected email — </w:t>
      </w:r>
      <w:r>
        <w:t>an email containing CDD documents is sent to the wrong recipient with a similar name. What are the first three steps?</w:t>
      </w:r>
    </w:p>
    <w:p w14:paraId="02C5663F" w14:textId="77777777" w:rsidR="00614225" w:rsidRDefault="00000000">
      <w:pPr>
        <w:pStyle w:val="ListParagraph"/>
        <w:numPr>
          <w:ilvl w:val="0"/>
          <w:numId w:val="2"/>
        </w:numPr>
        <w:spacing w:before="40" w:after="40" w:line="276" w:lineRule="auto"/>
      </w:pPr>
      <w:r>
        <w:rPr>
          <w:b/>
          <w:bCs/>
        </w:rPr>
        <w:t xml:space="preserve">Apparent business email compromise / payment redirection — </w:t>
      </w:r>
      <w:r>
        <w:t>a settlement email arrives changing the destination account 24 hours before settlement. How do you verify?</w:t>
      </w:r>
      <w:r>
        <w:rPr>
          <w:rStyle w:val="FootnoteReference"/>
        </w:rPr>
        <w:footnoteReference w:id="15"/>
      </w:r>
    </w:p>
    <w:p w14:paraId="69F02267" w14:textId="77777777" w:rsidR="00614225" w:rsidRDefault="00000000">
      <w:pPr>
        <w:pStyle w:val="ListParagraph"/>
        <w:numPr>
          <w:ilvl w:val="0"/>
          <w:numId w:val="2"/>
        </w:numPr>
        <w:spacing w:before="40" w:after="40" w:line="276" w:lineRule="auto"/>
      </w:pPr>
      <w:r>
        <w:rPr>
          <w:b/>
          <w:bCs/>
        </w:rPr>
        <w:t xml:space="preserve">AI use — </w:t>
      </w:r>
      <w:r>
        <w:t>a staff member wants to use a new AI tool on a matter. How do they check whether it is approved and within the permitted scope?</w:t>
      </w:r>
    </w:p>
    <w:p w14:paraId="3C64A702" w14:textId="77777777" w:rsidR="00614225" w:rsidRDefault="00000000">
      <w:pPr>
        <w:pStyle w:val="ListParagraph"/>
        <w:numPr>
          <w:ilvl w:val="0"/>
          <w:numId w:val="2"/>
        </w:numPr>
        <w:spacing w:before="40" w:after="40" w:line="276" w:lineRule="auto"/>
      </w:pPr>
      <w:r>
        <w:rPr>
          <w:b/>
          <w:bCs/>
        </w:rPr>
        <w:t xml:space="preserve">Social engineering — </w:t>
      </w:r>
      <w:r>
        <w:t>a caller identifying themselves as the client’s wife asks for a copy of a will. What do you do? A client calls asking the receptionist to note her new phone number in the system.</w:t>
      </w:r>
    </w:p>
    <w:p w14:paraId="7C67BD2F" w14:textId="77777777" w:rsidR="00614225" w:rsidRDefault="00000000">
      <w:pPr>
        <w:pStyle w:val="ListParagraph"/>
        <w:numPr>
          <w:ilvl w:val="0"/>
          <w:numId w:val="2"/>
        </w:numPr>
        <w:spacing w:before="40" w:after="40" w:line="276" w:lineRule="auto"/>
      </w:pPr>
      <w:r>
        <w:rPr>
          <w:b/>
          <w:bCs/>
        </w:rPr>
        <w:t xml:space="preserve">Subpoena or production notice — </w:t>
      </w:r>
      <w:r>
        <w:t xml:space="preserve">a subpoena for client documents arrives by email. What </w:t>
      </w:r>
      <w:proofErr w:type="gramStart"/>
      <w:r>
        <w:t>are</w:t>
      </w:r>
      <w:proofErr w:type="gramEnd"/>
      <w:r>
        <w:t xml:space="preserve"> the verification, privilege and privacy considerations?</w:t>
      </w:r>
    </w:p>
    <w:p w14:paraId="2E6EA29D" w14:textId="77777777" w:rsidR="00614225" w:rsidRDefault="00000000">
      <w:pPr>
        <w:spacing w:before="60" w:after="60"/>
        <w:ind w:left="540"/>
      </w:pPr>
      <w:r>
        <w:rPr>
          <w:i/>
          <w:iCs/>
          <w:color w:val="666666"/>
          <w:sz w:val="20"/>
          <w:szCs w:val="20"/>
        </w:rPr>
        <w:t>Update the scenarios annually using a mix of public incidents and de-identified firm incidents from the preceding year.</w:t>
      </w:r>
    </w:p>
    <w:p w14:paraId="5AAFBC7D" w14:textId="77777777" w:rsidR="00614225" w:rsidRDefault="00000000">
      <w:pPr>
        <w:spacing w:before="240" w:after="80"/>
      </w:pPr>
      <w:r>
        <w:rPr>
          <w:b/>
          <w:bCs/>
          <w:color w:val="1F3864"/>
        </w:rPr>
        <w:t>4. Emerging risks</w:t>
      </w:r>
    </w:p>
    <w:p w14:paraId="22DEFE19" w14:textId="77777777" w:rsidR="00614225" w:rsidRDefault="00000000">
      <w:pPr>
        <w:spacing w:before="80" w:after="120" w:line="276" w:lineRule="auto"/>
      </w:pPr>
      <w:r>
        <w:t>A short briefing on developing risks the firm has identified since the last refresher.</w:t>
      </w:r>
    </w:p>
    <w:p w14:paraId="69C4E807" w14:textId="77777777" w:rsidR="00614225" w:rsidRDefault="00000000">
      <w:pPr>
        <w:spacing w:before="240" w:after="80"/>
      </w:pPr>
      <w:r>
        <w:rPr>
          <w:b/>
          <w:bCs/>
          <w:color w:val="1F3864"/>
        </w:rPr>
        <w:t>5. Re-confirmation of fundamentals</w:t>
      </w:r>
    </w:p>
    <w:p w14:paraId="42063FEA" w14:textId="77777777" w:rsidR="00614225" w:rsidRDefault="00000000">
      <w:pPr>
        <w:spacing w:before="80" w:after="120" w:line="276" w:lineRule="auto"/>
      </w:pPr>
      <w:r>
        <w:t>A short walk-through of:</w:t>
      </w:r>
    </w:p>
    <w:p w14:paraId="04CED904" w14:textId="77777777" w:rsidR="00614225" w:rsidRDefault="00000000">
      <w:pPr>
        <w:pStyle w:val="ListParagraph"/>
        <w:numPr>
          <w:ilvl w:val="0"/>
          <w:numId w:val="2"/>
        </w:numPr>
        <w:spacing w:before="40" w:after="40" w:line="276" w:lineRule="auto"/>
      </w:pPr>
      <w:r>
        <w:t>the names and contact details of the firm’s Privacy Officer and incident response system;</w:t>
      </w:r>
    </w:p>
    <w:p w14:paraId="0E681C3D" w14:textId="77777777" w:rsidR="00614225" w:rsidRDefault="00000000">
      <w:pPr>
        <w:pStyle w:val="ListParagraph"/>
        <w:numPr>
          <w:ilvl w:val="0"/>
          <w:numId w:val="2"/>
        </w:numPr>
        <w:spacing w:before="40" w:after="40" w:line="276" w:lineRule="auto"/>
      </w:pPr>
      <w:r>
        <w:t>the location of the firm’s privacy policy, collection notices, retention schedule, AI policy and breach response plan;</w:t>
      </w:r>
    </w:p>
    <w:p w14:paraId="4B1002F6" w14:textId="77777777" w:rsidR="00614225" w:rsidRDefault="00000000">
      <w:pPr>
        <w:pStyle w:val="ListParagraph"/>
        <w:numPr>
          <w:ilvl w:val="0"/>
          <w:numId w:val="2"/>
        </w:numPr>
        <w:spacing w:before="40" w:after="40" w:line="276" w:lineRule="auto"/>
      </w:pPr>
      <w:r>
        <w:t>the firm’s reporting channel for actual or suspected incidents (including the after-hours pathway); and</w:t>
      </w:r>
    </w:p>
    <w:p w14:paraId="404E770D" w14:textId="77777777" w:rsidR="00614225" w:rsidRDefault="00000000">
      <w:pPr>
        <w:pStyle w:val="ListParagraph"/>
        <w:numPr>
          <w:ilvl w:val="0"/>
          <w:numId w:val="2"/>
        </w:numPr>
        <w:spacing w:before="40" w:after="40" w:line="276" w:lineRule="auto"/>
      </w:pPr>
      <w:r>
        <w:t>how each role interacts with privacy and confidentiality obligations.</w:t>
      </w:r>
    </w:p>
    <w:p w14:paraId="1D3A05D7" w14:textId="77777777" w:rsidR="00614225" w:rsidRDefault="00614225">
      <w:pPr>
        <w:spacing w:after="120" w:line="276" w:lineRule="auto"/>
      </w:pPr>
    </w:p>
    <w:p w14:paraId="55FED3F5" w14:textId="77777777" w:rsidR="00614225" w:rsidRDefault="00000000">
      <w:pPr>
        <w:spacing w:before="280" w:after="120"/>
      </w:pPr>
      <w:r>
        <w:rPr>
          <w:b/>
          <w:bCs/>
          <w:color w:val="1F3864"/>
          <w:sz w:val="24"/>
          <w:szCs w:val="24"/>
        </w:rPr>
        <w:lastRenderedPageBreak/>
        <w:t>Refresher delivery</w:t>
      </w:r>
    </w:p>
    <w:p w14:paraId="2C164974" w14:textId="77777777" w:rsidR="00614225" w:rsidRDefault="00000000">
      <w:pPr>
        <w:pStyle w:val="ListParagraph"/>
        <w:numPr>
          <w:ilvl w:val="0"/>
          <w:numId w:val="2"/>
        </w:numPr>
        <w:spacing w:before="40" w:after="40" w:line="276" w:lineRule="auto"/>
      </w:pPr>
      <w:r>
        <w:t>Best delivered live (in person or by video conference) to allow scenario discussion.</w:t>
      </w:r>
    </w:p>
    <w:p w14:paraId="6E0CACBF" w14:textId="77777777" w:rsidR="00614225" w:rsidRDefault="00000000">
      <w:pPr>
        <w:pStyle w:val="ListParagraph"/>
        <w:numPr>
          <w:ilvl w:val="0"/>
          <w:numId w:val="2"/>
        </w:numPr>
        <w:spacing w:before="40" w:after="40" w:line="276" w:lineRule="auto"/>
      </w:pPr>
      <w:r>
        <w:t>A recorded version may be used for staff who could not attend the live session, supplemented by an attestation and an opportunity to ask questions.</w:t>
      </w:r>
    </w:p>
    <w:p w14:paraId="774C11C5" w14:textId="77777777" w:rsidR="00614225" w:rsidRDefault="00000000">
      <w:pPr>
        <w:pStyle w:val="ListParagraph"/>
        <w:numPr>
          <w:ilvl w:val="0"/>
          <w:numId w:val="2"/>
        </w:numPr>
        <w:spacing w:before="40" w:after="40" w:line="276" w:lineRule="auto"/>
      </w:pPr>
      <w:r>
        <w:t>Retain a record of attendance and attestations in the training register.</w:t>
      </w:r>
    </w:p>
    <w:p w14:paraId="4B9581D5" w14:textId="77777777" w:rsidR="00614225" w:rsidRDefault="00000000">
      <w:pPr>
        <w:spacing w:before="60" w:after="60"/>
        <w:ind w:left="540"/>
      </w:pPr>
      <w:r>
        <w:rPr>
          <w:i/>
          <w:iCs/>
          <w:color w:val="666666"/>
          <w:sz w:val="20"/>
          <w:szCs w:val="20"/>
        </w:rPr>
        <w:t>Where the firm has had a material incident in the preceding year, do not wait for the annual cycle — schedule a targeted post-incident session and record it separately.</w:t>
      </w:r>
    </w:p>
    <w:p w14:paraId="41A292DC" w14:textId="77777777" w:rsidR="00614225" w:rsidRDefault="00000000">
      <w:pPr>
        <w:spacing w:line="276" w:lineRule="auto"/>
      </w:pPr>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614225" w14:paraId="7992CFC5" w14:textId="77777777">
        <w:tblPrEx>
          <w:tblCellMar>
            <w:top w:w="0" w:type="dxa"/>
            <w:bottom w:w="0" w:type="dxa"/>
          </w:tblCellMar>
        </w:tblPrEx>
        <w:tc>
          <w:tcPr>
            <w:tcW w:w="9026" w:type="dxa"/>
            <w:shd w:val="clear" w:color="auto" w:fill="1A3A5C"/>
            <w:tcMar>
              <w:top w:w="120" w:type="dxa"/>
              <w:left w:w="200" w:type="dxa"/>
              <w:bottom w:w="120" w:type="dxa"/>
              <w:right w:w="200" w:type="dxa"/>
            </w:tcMar>
          </w:tcPr>
          <w:p w14:paraId="14E8CA88" w14:textId="77777777" w:rsidR="00614225" w:rsidRDefault="00000000">
            <w:r>
              <w:rPr>
                <w:b/>
                <w:bCs/>
                <w:color w:val="FFFFFF"/>
                <w:sz w:val="28"/>
                <w:szCs w:val="28"/>
              </w:rPr>
              <w:lastRenderedPageBreak/>
              <w:t>Module 3</w:t>
            </w:r>
          </w:p>
          <w:p w14:paraId="41AE7742" w14:textId="77777777" w:rsidR="00614225" w:rsidRDefault="00000000">
            <w:pPr>
              <w:spacing w:before="40" w:after="40"/>
            </w:pPr>
            <w:r>
              <w:rPr>
                <w:color w:val="FFFFFF"/>
              </w:rPr>
              <w:t>Cybersecurity Awareness Training</w:t>
            </w:r>
          </w:p>
          <w:p w14:paraId="5D21ED20" w14:textId="2EDC23EA" w:rsidR="00614225" w:rsidRDefault="00000000">
            <w:r>
              <w:rPr>
                <w:i/>
                <w:iCs/>
                <w:color w:val="EEF4FB"/>
                <w:sz w:val="20"/>
                <w:szCs w:val="20"/>
              </w:rPr>
              <w:t>Duration: 30 minutes minimum — focus on practical demonstration of correct system use; consider external trainers</w:t>
            </w:r>
            <w:r w:rsidR="00B765A0">
              <w:rPr>
                <w:i/>
                <w:iCs/>
                <w:color w:val="EEF4FB"/>
                <w:sz w:val="20"/>
                <w:szCs w:val="20"/>
              </w:rPr>
              <w:t xml:space="preserve"> such as Lexon or QLS</w:t>
            </w:r>
            <w:r>
              <w:rPr>
                <w:i/>
                <w:iCs/>
                <w:color w:val="EEF4FB"/>
                <w:sz w:val="20"/>
                <w:szCs w:val="20"/>
              </w:rPr>
              <w:t xml:space="preserve"> for general technical content</w:t>
            </w:r>
          </w:p>
        </w:tc>
      </w:tr>
    </w:tbl>
    <w:p w14:paraId="0FFC8021" w14:textId="77777777" w:rsidR="00614225" w:rsidRDefault="00000000">
      <w:pPr>
        <w:spacing w:before="280" w:after="120"/>
      </w:pPr>
      <w:r>
        <w:rPr>
          <w:b/>
          <w:bCs/>
          <w:color w:val="1F3864"/>
          <w:sz w:val="24"/>
          <w:szCs w:val="24"/>
        </w:rPr>
        <w:t>Purpose</w:t>
      </w:r>
    </w:p>
    <w:p w14:paraId="64CC2AA2" w14:textId="246C1BB3" w:rsidR="00614225" w:rsidRDefault="00000000">
      <w:pPr>
        <w:spacing w:before="80" w:after="120" w:line="276" w:lineRule="auto"/>
      </w:pPr>
      <w:r>
        <w:t>Cybersecurity awareness training equips all staff to recognise, prevent and respond to the cyber risks that most commonly affect law firms. It complements</w:t>
      </w:r>
      <w:r w:rsidR="00B765A0">
        <w:t xml:space="preserve"> </w:t>
      </w:r>
      <w:r>
        <w:t xml:space="preserve">the firm’s technical controls. </w:t>
      </w:r>
      <w:r w:rsidR="00B765A0">
        <w:t>All</w:t>
      </w:r>
      <w:r>
        <w:t xml:space="preserve"> security rests on staff knowing how to identify risky interactions, what the firm has in place to reduce risk, and how to follow the firm’s procedures.</w:t>
      </w:r>
    </w:p>
    <w:p w14:paraId="078C6EFC" w14:textId="77777777" w:rsidR="00614225" w:rsidRDefault="00000000">
      <w:pPr>
        <w:spacing w:before="80" w:after="120" w:line="276" w:lineRule="auto"/>
      </w:pPr>
      <w:r>
        <w:t>Lexon insureds can access periodic in-office training by a cyber professional. QLS also has bespoke ethics sessions on cybersecurity available to member firms.</w:t>
      </w:r>
    </w:p>
    <w:p w14:paraId="24158CEB" w14:textId="77777777" w:rsidR="00614225" w:rsidRDefault="00000000">
      <w:pPr>
        <w:spacing w:before="280" w:after="120"/>
      </w:pPr>
      <w:r>
        <w:rPr>
          <w:b/>
          <w:bCs/>
          <w:color w:val="1F3864"/>
          <w:sz w:val="24"/>
          <w:szCs w:val="24"/>
        </w:rPr>
        <w:t>Learning objectives</w:t>
      </w:r>
    </w:p>
    <w:p w14:paraId="69CBD24F" w14:textId="77777777" w:rsidR="00614225" w:rsidRDefault="00000000">
      <w:pPr>
        <w:spacing w:before="80" w:after="120" w:line="276" w:lineRule="auto"/>
      </w:pPr>
      <w:r>
        <w:t>By the end of this module, participants should be able to:</w:t>
      </w:r>
    </w:p>
    <w:p w14:paraId="4B5010B7" w14:textId="77777777" w:rsidR="00614225" w:rsidRDefault="00000000">
      <w:pPr>
        <w:pStyle w:val="ListParagraph"/>
        <w:numPr>
          <w:ilvl w:val="0"/>
          <w:numId w:val="2"/>
        </w:numPr>
        <w:spacing w:before="40" w:after="40" w:line="276" w:lineRule="auto"/>
      </w:pPr>
      <w:r>
        <w:t xml:space="preserve">identify the cyber threats most common </w:t>
      </w:r>
      <w:proofErr w:type="spellStart"/>
      <w:r>
        <w:t>to</w:t>
      </w:r>
      <w:proofErr w:type="spellEnd"/>
      <w:r>
        <w:t xml:space="preserve"> small to mid-sized law firms;</w:t>
      </w:r>
    </w:p>
    <w:p w14:paraId="599E2B86" w14:textId="77777777" w:rsidR="00614225" w:rsidRDefault="00000000">
      <w:pPr>
        <w:pStyle w:val="ListParagraph"/>
        <w:numPr>
          <w:ilvl w:val="0"/>
          <w:numId w:val="2"/>
        </w:numPr>
        <w:spacing w:before="40" w:after="40" w:line="276" w:lineRule="auto"/>
      </w:pPr>
      <w:r>
        <w:t>apply the firm’s technical controls correctly in daily work (authentication, screen-locking, encryption, backup);</w:t>
      </w:r>
    </w:p>
    <w:p w14:paraId="23F894DD" w14:textId="77777777" w:rsidR="00614225" w:rsidRDefault="00000000">
      <w:pPr>
        <w:pStyle w:val="ListParagraph"/>
        <w:numPr>
          <w:ilvl w:val="0"/>
          <w:numId w:val="2"/>
        </w:numPr>
        <w:spacing w:before="40" w:after="40" w:line="276" w:lineRule="auto"/>
      </w:pPr>
      <w:r>
        <w:t>recognise phishing, business email compromise, payment redirection and deepfake social engineering;</w:t>
      </w:r>
    </w:p>
    <w:p w14:paraId="1273AC51" w14:textId="77777777" w:rsidR="00614225" w:rsidRDefault="00000000">
      <w:pPr>
        <w:pStyle w:val="ListParagraph"/>
        <w:numPr>
          <w:ilvl w:val="0"/>
          <w:numId w:val="2"/>
        </w:numPr>
        <w:spacing w:before="40" w:after="40" w:line="276" w:lineRule="auto"/>
      </w:pPr>
      <w:r>
        <w:t>respond correctly to a suspected incident, including who to notify and in what order; and</w:t>
      </w:r>
    </w:p>
    <w:p w14:paraId="7AA66495" w14:textId="77777777" w:rsidR="00614225" w:rsidRDefault="00000000">
      <w:pPr>
        <w:pStyle w:val="ListParagraph"/>
        <w:numPr>
          <w:ilvl w:val="0"/>
          <w:numId w:val="2"/>
        </w:numPr>
        <w:spacing w:before="40" w:after="40" w:line="276" w:lineRule="auto"/>
      </w:pPr>
      <w:r>
        <w:t>apply the firm’s remote-working and BYOD requirements.</w:t>
      </w:r>
    </w:p>
    <w:p w14:paraId="73E2CD97" w14:textId="77777777" w:rsidR="00614225" w:rsidRDefault="00000000">
      <w:pPr>
        <w:spacing w:before="280" w:after="120"/>
      </w:pPr>
      <w:r>
        <w:rPr>
          <w:b/>
          <w:bCs/>
          <w:color w:val="1F3864"/>
          <w:sz w:val="24"/>
          <w:szCs w:val="24"/>
        </w:rPr>
        <w:t>Training content</w:t>
      </w:r>
    </w:p>
    <w:p w14:paraId="5EF601B4" w14:textId="77777777" w:rsidR="00614225" w:rsidRDefault="00000000">
      <w:pPr>
        <w:spacing w:before="240" w:after="80"/>
      </w:pPr>
      <w:r>
        <w:rPr>
          <w:b/>
          <w:bCs/>
          <w:color w:val="1F3864"/>
        </w:rPr>
        <w:t>1. Why law firms are a popular target for cyber-criminals</w:t>
      </w:r>
      <w:r>
        <w:rPr>
          <w:rStyle w:val="FootnoteReference"/>
        </w:rPr>
        <w:footnoteReference w:id="16"/>
      </w:r>
    </w:p>
    <w:p w14:paraId="1EAC4D4E" w14:textId="77777777" w:rsidR="00614225" w:rsidRDefault="00000000">
      <w:pPr>
        <w:spacing w:before="80" w:after="120" w:line="276" w:lineRule="auto"/>
      </w:pPr>
      <w:r>
        <w:t>A short framing of why law firms are a high-value target — trust accounts, settlement funds, client confidential information, and access to counterparties. Reference, briefly:</w:t>
      </w:r>
    </w:p>
    <w:p w14:paraId="531E66ED" w14:textId="77777777" w:rsidR="00614225" w:rsidRDefault="00000000">
      <w:pPr>
        <w:pStyle w:val="ListParagraph"/>
        <w:numPr>
          <w:ilvl w:val="0"/>
          <w:numId w:val="2"/>
        </w:numPr>
        <w:spacing w:before="40" w:after="40" w:line="276" w:lineRule="auto"/>
      </w:pPr>
      <w:r>
        <w:t>publicly reported incidents affecting Australian law firms in the past 12–18 months;</w:t>
      </w:r>
    </w:p>
    <w:p w14:paraId="505F77C6" w14:textId="77777777" w:rsidR="00614225" w:rsidRDefault="00000000">
      <w:pPr>
        <w:pStyle w:val="ListParagraph"/>
        <w:numPr>
          <w:ilvl w:val="0"/>
          <w:numId w:val="2"/>
        </w:numPr>
        <w:spacing w:before="40" w:after="40" w:line="276" w:lineRule="auto"/>
      </w:pPr>
      <w:r>
        <w:t>payment redirection fraud in conveyancing and litigation settlements, and any time the firm pays a substantial bill;</w:t>
      </w:r>
    </w:p>
    <w:p w14:paraId="7982D36C" w14:textId="77777777" w:rsidR="00614225" w:rsidRDefault="00000000">
      <w:pPr>
        <w:pStyle w:val="ListParagraph"/>
        <w:numPr>
          <w:ilvl w:val="0"/>
          <w:numId w:val="2"/>
        </w:numPr>
        <w:spacing w:before="40" w:after="40" w:line="276" w:lineRule="auto"/>
      </w:pPr>
      <w:r>
        <w:t>ransomware and information-extortion campaigns targeting professional services;</w:t>
      </w:r>
    </w:p>
    <w:p w14:paraId="2AF5D70A" w14:textId="77777777" w:rsidR="00614225" w:rsidRDefault="00000000">
      <w:pPr>
        <w:pStyle w:val="ListParagraph"/>
        <w:numPr>
          <w:ilvl w:val="0"/>
          <w:numId w:val="2"/>
        </w:numPr>
        <w:spacing w:before="40" w:after="40" w:line="276" w:lineRule="auto"/>
      </w:pPr>
      <w:r>
        <w:t>supply-chain compromise (practice management, conveyancing platforms, AI vendors); and</w:t>
      </w:r>
    </w:p>
    <w:p w14:paraId="34475767" w14:textId="77777777" w:rsidR="00614225" w:rsidRDefault="00000000">
      <w:pPr>
        <w:pStyle w:val="ListParagraph"/>
        <w:numPr>
          <w:ilvl w:val="0"/>
          <w:numId w:val="2"/>
        </w:numPr>
        <w:spacing w:before="40" w:after="40" w:line="276" w:lineRule="auto"/>
      </w:pPr>
      <w:r>
        <w:t>insider risk and accidental disclosure.</w:t>
      </w:r>
    </w:p>
    <w:p w14:paraId="437AD74D" w14:textId="77777777" w:rsidR="00614225" w:rsidRDefault="00000000">
      <w:pPr>
        <w:spacing w:before="240" w:after="80"/>
      </w:pPr>
      <w:r>
        <w:rPr>
          <w:b/>
          <w:bCs/>
          <w:color w:val="1F3864"/>
        </w:rPr>
        <w:t>2. Authentication and access</w:t>
      </w:r>
    </w:p>
    <w:p w14:paraId="5AA27B4A" w14:textId="77777777" w:rsidR="00614225" w:rsidRDefault="00000000">
      <w:pPr>
        <w:pStyle w:val="ListParagraph"/>
        <w:numPr>
          <w:ilvl w:val="0"/>
          <w:numId w:val="2"/>
        </w:numPr>
        <w:spacing w:before="40" w:after="40" w:line="276" w:lineRule="auto"/>
      </w:pPr>
      <w:r>
        <w:rPr>
          <w:b/>
          <w:bCs/>
        </w:rPr>
        <w:t xml:space="preserve">Multi-factor authentication: </w:t>
      </w:r>
      <w:r>
        <w:t xml:space="preserve">required on email, practice management, document management, banking, PEXA, conveyancing platforms and any remote-access </w:t>
      </w:r>
      <w:r>
        <w:lastRenderedPageBreak/>
        <w:t>system. Push-prompt fatigue is a known problem. Never approve a prompt you did not initiate.</w:t>
      </w:r>
      <w:r>
        <w:rPr>
          <w:rStyle w:val="FootnoteReference"/>
        </w:rPr>
        <w:footnoteReference w:id="17"/>
      </w:r>
    </w:p>
    <w:p w14:paraId="2660A951" w14:textId="77777777" w:rsidR="00614225" w:rsidRDefault="00000000">
      <w:pPr>
        <w:pStyle w:val="ListParagraph"/>
        <w:numPr>
          <w:ilvl w:val="0"/>
          <w:numId w:val="2"/>
        </w:numPr>
        <w:spacing w:before="40" w:after="40" w:line="276" w:lineRule="auto"/>
      </w:pPr>
      <w:r>
        <w:rPr>
          <w:b/>
          <w:bCs/>
        </w:rPr>
        <w:t xml:space="preserve">Passwords: </w:t>
      </w:r>
      <w:r>
        <w:t>use the firm’s password manager (as applicable); never reuse passwords across systems; never share or write passwords on visible media. &lt;&lt;Refresher on the firm’s password policy.&gt;&gt;</w:t>
      </w:r>
    </w:p>
    <w:p w14:paraId="654C3D53" w14:textId="77777777" w:rsidR="00614225" w:rsidRDefault="00000000">
      <w:pPr>
        <w:pStyle w:val="ListParagraph"/>
        <w:numPr>
          <w:ilvl w:val="0"/>
          <w:numId w:val="2"/>
        </w:numPr>
        <w:spacing w:before="40" w:after="40" w:line="276" w:lineRule="auto"/>
      </w:pPr>
      <w:r>
        <w:rPr>
          <w:b/>
          <w:bCs/>
        </w:rPr>
        <w:t xml:space="preserve">Privileged access: </w:t>
      </w:r>
      <w:r>
        <w:t>administrative privileges are restricted; do not request elevated access for routine work.</w:t>
      </w:r>
    </w:p>
    <w:p w14:paraId="38D97C22" w14:textId="77777777" w:rsidR="00614225" w:rsidRDefault="00000000">
      <w:pPr>
        <w:pStyle w:val="ListParagraph"/>
        <w:numPr>
          <w:ilvl w:val="0"/>
          <w:numId w:val="2"/>
        </w:numPr>
        <w:spacing w:before="40" w:after="40" w:line="276" w:lineRule="auto"/>
      </w:pPr>
      <w:r>
        <w:rPr>
          <w:b/>
          <w:bCs/>
        </w:rPr>
        <w:t xml:space="preserve">Departure and role-change: </w:t>
      </w:r>
      <w:r>
        <w:t>refresher on employment contract obligations when staff leave the firm (e.g. delete any confidential data, promptly surrender laptop and any firm-supplied devices).</w:t>
      </w:r>
    </w:p>
    <w:p w14:paraId="5185D2F7" w14:textId="77777777" w:rsidR="00614225" w:rsidRDefault="00000000">
      <w:pPr>
        <w:spacing w:before="240" w:after="80"/>
      </w:pPr>
      <w:r>
        <w:rPr>
          <w:b/>
          <w:bCs/>
          <w:color w:val="1F3864"/>
        </w:rPr>
        <w:t>3. Email, phishing and business email compromise (“BEC”)</w:t>
      </w:r>
    </w:p>
    <w:p w14:paraId="15FB234D" w14:textId="77777777" w:rsidR="00614225" w:rsidRDefault="00000000">
      <w:pPr>
        <w:spacing w:before="80" w:after="120" w:line="276" w:lineRule="auto"/>
      </w:pPr>
      <w:r>
        <w:t>Email remains the primary attack vector. Staff should be able to recognise:</w:t>
      </w:r>
    </w:p>
    <w:p w14:paraId="5E860515" w14:textId="77777777" w:rsidR="00614225" w:rsidRDefault="00000000">
      <w:pPr>
        <w:pStyle w:val="ListParagraph"/>
        <w:numPr>
          <w:ilvl w:val="0"/>
          <w:numId w:val="2"/>
        </w:numPr>
        <w:spacing w:before="40" w:after="40" w:line="276" w:lineRule="auto"/>
      </w:pPr>
      <w:r>
        <w:t xml:space="preserve">urgency and authority cues (“the </w:t>
      </w:r>
      <w:proofErr w:type="gramStart"/>
      <w:r>
        <w:t>Principal</w:t>
      </w:r>
      <w:proofErr w:type="gramEnd"/>
      <w:r>
        <w:t xml:space="preserve"> needs this paid today”);</w:t>
      </w:r>
    </w:p>
    <w:p w14:paraId="567DD4BD" w14:textId="77777777" w:rsidR="00614225" w:rsidRDefault="00000000">
      <w:pPr>
        <w:pStyle w:val="ListParagraph"/>
        <w:numPr>
          <w:ilvl w:val="0"/>
          <w:numId w:val="2"/>
        </w:numPr>
        <w:spacing w:before="40" w:after="40" w:line="276" w:lineRule="auto"/>
      </w:pPr>
      <w:r>
        <w:t>look-alike sender domains (a letter substituted, a hyphen inserted, a sub-domain spoofed);</w:t>
      </w:r>
    </w:p>
    <w:p w14:paraId="345735E5" w14:textId="77777777" w:rsidR="00614225" w:rsidRDefault="00000000">
      <w:pPr>
        <w:pStyle w:val="ListParagraph"/>
        <w:numPr>
          <w:ilvl w:val="0"/>
          <w:numId w:val="2"/>
        </w:numPr>
        <w:spacing w:before="40" w:after="40" w:line="276" w:lineRule="auto"/>
      </w:pPr>
      <w:r>
        <w:t>payment-instruction changes received by email — always verify on a known phone number, not the number in the email;</w:t>
      </w:r>
    </w:p>
    <w:p w14:paraId="10BB66DD" w14:textId="77777777" w:rsidR="00614225" w:rsidRDefault="00000000">
      <w:pPr>
        <w:pStyle w:val="ListParagraph"/>
        <w:numPr>
          <w:ilvl w:val="0"/>
          <w:numId w:val="2"/>
        </w:numPr>
        <w:spacing w:before="40" w:after="40" w:line="276" w:lineRule="auto"/>
      </w:pPr>
      <w:r>
        <w:t>attachments and links from unexpected senders, including those that appear to be from a known contact;</w:t>
      </w:r>
    </w:p>
    <w:p w14:paraId="0065E981" w14:textId="77777777" w:rsidR="00614225" w:rsidRDefault="00000000">
      <w:pPr>
        <w:pStyle w:val="ListParagraph"/>
        <w:numPr>
          <w:ilvl w:val="0"/>
          <w:numId w:val="2"/>
        </w:numPr>
        <w:spacing w:before="40" w:after="40" w:line="276" w:lineRule="auto"/>
      </w:pPr>
      <w:r>
        <w:t>compromised counter-party email; if the other side’s system is compromised, the attacker may be reading the thread and inserting messages; and</w:t>
      </w:r>
    </w:p>
    <w:p w14:paraId="60BBBCB3" w14:textId="77777777" w:rsidR="00614225" w:rsidRDefault="00000000">
      <w:pPr>
        <w:pStyle w:val="ListParagraph"/>
        <w:numPr>
          <w:ilvl w:val="0"/>
          <w:numId w:val="2"/>
        </w:numPr>
        <w:spacing w:before="40" w:after="40" w:line="276" w:lineRule="auto"/>
      </w:pPr>
      <w:r>
        <w:t>deepfake voice and video impersonation; if a senior staff member or client requests a payment by voice or video, verify by calling them back on a known number.</w:t>
      </w:r>
    </w:p>
    <w:p w14:paraId="1D42F9C5" w14:textId="77777777" w:rsidR="00614225" w:rsidRDefault="00614225">
      <w:pPr>
        <w:spacing w:after="8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4A0" w:firstRow="1" w:lastRow="0" w:firstColumn="1" w:lastColumn="0" w:noHBand="0" w:noVBand="1"/>
      </w:tblPr>
      <w:tblGrid>
        <w:gridCol w:w="9026"/>
      </w:tblGrid>
      <w:tr w:rsidR="00614225" w14:paraId="3C87525A" w14:textId="77777777">
        <w:tc>
          <w:tcPr>
            <w:tcW w:w="9026" w:type="dxa"/>
            <w:tcBorders>
              <w:top w:val="single" w:sz="2" w:space="0" w:color="2F5496"/>
              <w:left w:val="single" w:sz="12" w:space="0" w:color="2F5496"/>
              <w:bottom w:val="single" w:sz="2" w:space="0" w:color="2F5496"/>
              <w:right w:val="single" w:sz="2" w:space="0" w:color="2F5496"/>
            </w:tcBorders>
            <w:shd w:val="clear" w:color="auto" w:fill="EEF4FB"/>
            <w:tcMar>
              <w:top w:w="120" w:type="dxa"/>
              <w:left w:w="160" w:type="dxa"/>
              <w:bottom w:w="120" w:type="dxa"/>
              <w:right w:w="160" w:type="dxa"/>
            </w:tcMar>
          </w:tcPr>
          <w:p w14:paraId="2D74BB28" w14:textId="62224A62" w:rsidR="00614225" w:rsidRDefault="00000000">
            <w:pPr>
              <w:spacing w:after="80"/>
            </w:pPr>
            <w:r>
              <w:rPr>
                <w:b/>
                <w:bCs/>
                <w:color w:val="1F3864"/>
                <w:sz w:val="21"/>
                <w:szCs w:val="21"/>
              </w:rPr>
              <w:t xml:space="preserve">If you suspect a phishing or </w:t>
            </w:r>
            <w:r w:rsidR="00B765A0">
              <w:rPr>
                <w:b/>
                <w:bCs/>
                <w:color w:val="1F3864"/>
                <w:sz w:val="21"/>
                <w:szCs w:val="21"/>
              </w:rPr>
              <w:t>funds diversion</w:t>
            </w:r>
            <w:r>
              <w:rPr>
                <w:b/>
                <w:bCs/>
                <w:color w:val="1F3864"/>
                <w:sz w:val="21"/>
                <w:szCs w:val="21"/>
              </w:rPr>
              <w:t xml:space="preserve"> attempt</w:t>
            </w:r>
          </w:p>
          <w:p w14:paraId="723CB708" w14:textId="77777777" w:rsidR="00614225" w:rsidRDefault="00000000" w:rsidP="00B765A0">
            <w:pPr>
              <w:pStyle w:val="ListParagraph"/>
              <w:numPr>
                <w:ilvl w:val="0"/>
                <w:numId w:val="3"/>
              </w:numPr>
              <w:spacing w:before="40" w:after="40"/>
            </w:pPr>
            <w:r w:rsidRPr="00B765A0">
              <w:rPr>
                <w:sz w:val="20"/>
                <w:szCs w:val="20"/>
              </w:rPr>
              <w:t>Do not click links or open attachments.</w:t>
            </w:r>
          </w:p>
          <w:p w14:paraId="1E46B561" w14:textId="77777777" w:rsidR="00614225" w:rsidRDefault="00000000" w:rsidP="00B765A0">
            <w:pPr>
              <w:pStyle w:val="ListParagraph"/>
              <w:numPr>
                <w:ilvl w:val="0"/>
                <w:numId w:val="3"/>
              </w:numPr>
              <w:spacing w:before="40" w:after="40"/>
            </w:pPr>
            <w:r w:rsidRPr="00B765A0">
              <w:rPr>
                <w:sz w:val="20"/>
                <w:szCs w:val="20"/>
              </w:rPr>
              <w:t>Do not reply.</w:t>
            </w:r>
          </w:p>
          <w:p w14:paraId="19A90D4D" w14:textId="5EADE3D1" w:rsidR="00614225" w:rsidRDefault="00000000" w:rsidP="00B765A0">
            <w:pPr>
              <w:pStyle w:val="ListParagraph"/>
              <w:numPr>
                <w:ilvl w:val="0"/>
                <w:numId w:val="3"/>
              </w:numPr>
              <w:spacing w:before="40" w:after="40"/>
            </w:pPr>
            <w:r w:rsidRPr="00B765A0">
              <w:rPr>
                <w:sz w:val="20"/>
                <w:szCs w:val="20"/>
              </w:rPr>
              <w:t>Report it through the firm’s phishing reporting channel and to IT.</w:t>
            </w:r>
            <w:r w:rsidR="00B765A0">
              <w:rPr>
                <w:sz w:val="20"/>
                <w:szCs w:val="20"/>
              </w:rPr>
              <w:t xml:space="preserve"> Even if you spotted the attack, reporting it to your colleagues helps them avoid it too.</w:t>
            </w:r>
          </w:p>
          <w:p w14:paraId="05700C42" w14:textId="77777777" w:rsidR="00614225" w:rsidRDefault="00000000" w:rsidP="00B765A0">
            <w:pPr>
              <w:pStyle w:val="ListParagraph"/>
              <w:numPr>
                <w:ilvl w:val="0"/>
                <w:numId w:val="3"/>
              </w:numPr>
              <w:spacing w:before="40" w:after="40"/>
            </w:pPr>
            <w:r w:rsidRPr="00B765A0">
              <w:rPr>
                <w:sz w:val="20"/>
                <w:szCs w:val="20"/>
              </w:rPr>
              <w:t xml:space="preserve">If you have already </w:t>
            </w:r>
            <w:proofErr w:type="gramStart"/>
            <w:r w:rsidRPr="00B765A0">
              <w:rPr>
                <w:sz w:val="20"/>
                <w:szCs w:val="20"/>
              </w:rPr>
              <w:t>actioned</w:t>
            </w:r>
            <w:proofErr w:type="gramEnd"/>
            <w:r w:rsidRPr="00B765A0">
              <w:rPr>
                <w:sz w:val="20"/>
                <w:szCs w:val="20"/>
              </w:rPr>
              <w:t xml:space="preserve"> the request — </w:t>
            </w:r>
            <w:proofErr w:type="gramStart"/>
            <w:r w:rsidRPr="00B765A0">
              <w:rPr>
                <w:sz w:val="20"/>
                <w:szCs w:val="20"/>
              </w:rPr>
              <w:t>in particular if</w:t>
            </w:r>
            <w:proofErr w:type="gramEnd"/>
            <w:r w:rsidRPr="00B765A0">
              <w:rPr>
                <w:sz w:val="20"/>
                <w:szCs w:val="20"/>
              </w:rPr>
              <w:t xml:space="preserve"> a payment has been made or instructions changed — notify the Principal or Privacy Officer immediately. Time is critical for fund recall.</w:t>
            </w:r>
          </w:p>
          <w:p w14:paraId="3692E5D1" w14:textId="77777777" w:rsidR="00614225" w:rsidRDefault="00000000" w:rsidP="00B765A0">
            <w:pPr>
              <w:pStyle w:val="ListParagraph"/>
              <w:numPr>
                <w:ilvl w:val="0"/>
                <w:numId w:val="3"/>
              </w:numPr>
              <w:spacing w:before="40" w:after="40"/>
            </w:pPr>
            <w:r w:rsidRPr="00B765A0">
              <w:rPr>
                <w:sz w:val="20"/>
                <w:szCs w:val="20"/>
              </w:rPr>
              <w:t>Staff are not in trouble for clicking a hostile link. The attackers are very good at engineering cooperation. It is something that needs to be dealt with, though.</w:t>
            </w:r>
          </w:p>
        </w:tc>
      </w:tr>
    </w:tbl>
    <w:p w14:paraId="2E6F0EDA" w14:textId="77777777" w:rsidR="00614225" w:rsidRDefault="00614225">
      <w:pPr>
        <w:spacing w:after="100" w:line="276" w:lineRule="auto"/>
      </w:pPr>
    </w:p>
    <w:p w14:paraId="759997F6" w14:textId="77777777" w:rsidR="00614225" w:rsidRDefault="00000000">
      <w:pPr>
        <w:spacing w:before="240" w:after="80"/>
      </w:pPr>
      <w:r>
        <w:rPr>
          <w:b/>
          <w:bCs/>
          <w:color w:val="1F3864"/>
        </w:rPr>
        <w:t>4. Incident response — the first hour</w:t>
      </w:r>
      <w:r>
        <w:rPr>
          <w:rStyle w:val="FootnoteReference"/>
        </w:rPr>
        <w:footnoteReference w:id="18"/>
      </w:r>
    </w:p>
    <w:p w14:paraId="20679F3F" w14:textId="77777777" w:rsidR="00614225" w:rsidRDefault="00000000">
      <w:pPr>
        <w:spacing w:before="80" w:after="120" w:line="276" w:lineRule="auto"/>
      </w:pPr>
      <w:r>
        <w:t>If you suspect an incident has occurred:</w:t>
      </w:r>
    </w:p>
    <w:p w14:paraId="4254F680" w14:textId="5009ADEE" w:rsidR="00614225" w:rsidRDefault="00000000">
      <w:pPr>
        <w:pStyle w:val="ListParagraph"/>
        <w:numPr>
          <w:ilvl w:val="0"/>
          <w:numId w:val="2"/>
        </w:numPr>
        <w:spacing w:before="40" w:after="40" w:line="276" w:lineRule="auto"/>
      </w:pPr>
      <w:r>
        <w:t>contact the Principal, Privacy Officer or IT immediately (using the after-hours number where relevant);</w:t>
      </w:r>
    </w:p>
    <w:p w14:paraId="50815255" w14:textId="77777777" w:rsidR="00614225" w:rsidRDefault="00000000">
      <w:pPr>
        <w:pStyle w:val="ListParagraph"/>
        <w:numPr>
          <w:ilvl w:val="0"/>
          <w:numId w:val="2"/>
        </w:numPr>
        <w:spacing w:before="40" w:after="40" w:line="276" w:lineRule="auto"/>
      </w:pPr>
      <w:r>
        <w:t>do not delete suspicious emails or attachments — they are evidence;</w:t>
      </w:r>
    </w:p>
    <w:p w14:paraId="0C406BD0" w14:textId="04C634C9" w:rsidR="00614225" w:rsidRDefault="00000000">
      <w:pPr>
        <w:pStyle w:val="ListParagraph"/>
        <w:numPr>
          <w:ilvl w:val="0"/>
          <w:numId w:val="2"/>
        </w:numPr>
        <w:spacing w:before="40" w:after="40" w:line="276" w:lineRule="auto"/>
      </w:pPr>
      <w:r>
        <w:lastRenderedPageBreak/>
        <w:t xml:space="preserve">do not reboot or </w:t>
      </w:r>
      <w:r w:rsidR="00B765A0">
        <w:t>power down</w:t>
      </w:r>
      <w:r>
        <w:t xml:space="preserve"> an affected device</w:t>
      </w:r>
      <w:r w:rsidR="00B765A0">
        <w:t>. L</w:t>
      </w:r>
      <w:r>
        <w:t>eave it for IT or forensic specialists</w:t>
      </w:r>
      <w:r w:rsidR="00B765A0">
        <w:t xml:space="preserve">. Take photos of any screen messages or odd </w:t>
      </w:r>
      <w:proofErr w:type="spellStart"/>
      <w:r w:rsidR="00B765A0">
        <w:t>behavior</w:t>
      </w:r>
      <w:proofErr w:type="spellEnd"/>
      <w:r w:rsidR="00B765A0">
        <w:t>.</w:t>
      </w:r>
    </w:p>
    <w:p w14:paraId="1E74B161" w14:textId="77777777" w:rsidR="00614225" w:rsidRDefault="00000000">
      <w:pPr>
        <w:pStyle w:val="ListParagraph"/>
        <w:numPr>
          <w:ilvl w:val="0"/>
          <w:numId w:val="2"/>
        </w:numPr>
        <w:spacing w:before="40" w:after="40" w:line="276" w:lineRule="auto"/>
      </w:pPr>
      <w:r>
        <w:t>keep a brief contemporaneous note of what you saw, what you did, and the times; and</w:t>
      </w:r>
    </w:p>
    <w:p w14:paraId="1F31476E" w14:textId="77777777" w:rsidR="001D5935" w:rsidRDefault="00000000">
      <w:pPr>
        <w:pStyle w:val="ListParagraph"/>
        <w:numPr>
          <w:ilvl w:val="0"/>
          <w:numId w:val="2"/>
        </w:numPr>
        <w:spacing w:before="40" w:after="40" w:line="276" w:lineRule="auto"/>
      </w:pPr>
      <w:r>
        <w:t xml:space="preserve">do not communicate with the suspected attacker, </w:t>
      </w:r>
    </w:p>
    <w:p w14:paraId="7DC58D28" w14:textId="381EB09C" w:rsidR="00614225" w:rsidRDefault="001D5935">
      <w:pPr>
        <w:pStyle w:val="ListParagraph"/>
        <w:numPr>
          <w:ilvl w:val="0"/>
          <w:numId w:val="2"/>
        </w:numPr>
        <w:spacing w:before="40" w:after="40" w:line="276" w:lineRule="auto"/>
      </w:pPr>
      <w:r>
        <w:t xml:space="preserve">In most circumstances don’t notify </w:t>
      </w:r>
      <w:r w:rsidR="00000000">
        <w:t>the affected client or any third party until directed.</w:t>
      </w:r>
    </w:p>
    <w:p w14:paraId="358AC710" w14:textId="77777777" w:rsidR="00B765A0" w:rsidRDefault="00B765A0" w:rsidP="00B765A0">
      <w:pPr>
        <w:spacing w:before="40" w:after="40" w:line="276" w:lineRule="auto"/>
      </w:pPr>
    </w:p>
    <w:p w14:paraId="35920FA9" w14:textId="1FD69480" w:rsidR="00B765A0" w:rsidRDefault="001D5935" w:rsidP="00B765A0">
      <w:pPr>
        <w:spacing w:before="40" w:after="40" w:line="276" w:lineRule="auto"/>
      </w:pPr>
      <w:r>
        <w:t>Note</w:t>
      </w:r>
      <w:r w:rsidR="00B765A0">
        <w:t xml:space="preserve">: in limited circumstances it might be appropriate to </w:t>
      </w:r>
      <w:r>
        <w:t>make emergency notifications</w:t>
      </w:r>
      <w:r w:rsidR="00B765A0">
        <w:t xml:space="preserve">. If you suspect money may have been misdirected and you can’t get immediate assistance from your </w:t>
      </w:r>
      <w:proofErr w:type="gramStart"/>
      <w:r w:rsidR="00B765A0">
        <w:t>supervisor</w:t>
      </w:r>
      <w:proofErr w:type="gramEnd"/>
      <w:r w:rsidR="00B765A0">
        <w:t xml:space="preserve"> the client needs to start the process with their bank </w:t>
      </w:r>
      <w:r>
        <w:t xml:space="preserve">or </w:t>
      </w:r>
      <w:proofErr w:type="gramStart"/>
      <w:r>
        <w:t>you need</w:t>
      </w:r>
      <w:proofErr w:type="gramEnd"/>
      <w:r>
        <w:t xml:space="preserve"> to start the process with your </w:t>
      </w:r>
      <w:proofErr w:type="gramStart"/>
      <w:r>
        <w:t>firm’s</w:t>
      </w:r>
      <w:proofErr w:type="gramEnd"/>
      <w:r>
        <w:t xml:space="preserve"> </w:t>
      </w:r>
      <w:r w:rsidR="00B765A0">
        <w:t>to reverse any transfer</w:t>
      </w:r>
      <w:r>
        <w:t xml:space="preserve"> (as </w:t>
      </w:r>
      <w:proofErr w:type="spellStart"/>
      <w:r>
        <w:t>applicatble</w:t>
      </w:r>
      <w:proofErr w:type="spellEnd"/>
      <w:r>
        <w:t xml:space="preserve">).  </w:t>
      </w:r>
    </w:p>
    <w:p w14:paraId="1EC53D35" w14:textId="77777777" w:rsidR="00614225" w:rsidRDefault="00614225">
      <w:pPr>
        <w:spacing w:after="80" w:line="276" w:lineRule="auto"/>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bottom w:w="120" w:type="dxa"/>
          <w:right w:w="10" w:type="dxa"/>
        </w:tblCellMar>
        <w:tblLook w:val="04A0" w:firstRow="1" w:lastRow="0" w:firstColumn="1" w:lastColumn="0" w:noHBand="0" w:noVBand="1"/>
      </w:tblPr>
      <w:tblGrid>
        <w:gridCol w:w="9026"/>
      </w:tblGrid>
      <w:tr w:rsidR="00614225" w14:paraId="06D63446" w14:textId="77777777">
        <w:tc>
          <w:tcPr>
            <w:tcW w:w="9026" w:type="dxa"/>
            <w:tcBorders>
              <w:top w:val="single" w:sz="2" w:space="0" w:color="2F5496"/>
              <w:left w:val="single" w:sz="12" w:space="0" w:color="2F5496"/>
              <w:bottom w:val="single" w:sz="2" w:space="0" w:color="2F5496"/>
              <w:right w:val="single" w:sz="2" w:space="0" w:color="2F5496"/>
            </w:tcBorders>
            <w:shd w:val="clear" w:color="auto" w:fill="EEF4FB"/>
            <w:tcMar>
              <w:top w:w="120" w:type="dxa"/>
              <w:left w:w="160" w:type="dxa"/>
              <w:bottom w:w="120" w:type="dxa"/>
              <w:right w:w="160" w:type="dxa"/>
            </w:tcMar>
          </w:tcPr>
          <w:p w14:paraId="0FC9CF88" w14:textId="77777777" w:rsidR="00614225" w:rsidRDefault="00000000">
            <w:pPr>
              <w:spacing w:after="80"/>
            </w:pPr>
            <w:r>
              <w:rPr>
                <w:b/>
                <w:bCs/>
                <w:color w:val="1F3864"/>
                <w:sz w:val="21"/>
                <w:szCs w:val="21"/>
              </w:rPr>
              <w:t>Indicators that should always trigger a report</w:t>
            </w:r>
          </w:p>
          <w:p w14:paraId="4C2B4D80" w14:textId="77777777" w:rsidR="00614225" w:rsidRDefault="00000000">
            <w:pPr>
              <w:spacing w:before="40" w:after="40"/>
            </w:pPr>
            <w:r>
              <w:rPr>
                <w:sz w:val="20"/>
                <w:szCs w:val="20"/>
              </w:rPr>
              <w:t>•  An email sent to the wrong recipient that contained personal or confidential information.</w:t>
            </w:r>
          </w:p>
          <w:p w14:paraId="34491113" w14:textId="77777777" w:rsidR="00614225" w:rsidRDefault="00000000">
            <w:pPr>
              <w:spacing w:before="40" w:after="40"/>
            </w:pPr>
            <w:r>
              <w:rPr>
                <w:sz w:val="20"/>
                <w:szCs w:val="20"/>
              </w:rPr>
              <w:t>•  A lost or stolen laptop, phone, USB drive or paper file.</w:t>
            </w:r>
          </w:p>
          <w:p w14:paraId="7220DD1E" w14:textId="77777777" w:rsidR="00614225" w:rsidRDefault="00000000">
            <w:pPr>
              <w:spacing w:before="40" w:after="40"/>
            </w:pPr>
            <w:r>
              <w:rPr>
                <w:sz w:val="20"/>
                <w:szCs w:val="20"/>
              </w:rPr>
              <w:t>•  An unexpected MFA prompt that you did not initiate.</w:t>
            </w:r>
          </w:p>
          <w:p w14:paraId="71CFB238" w14:textId="77777777" w:rsidR="00614225" w:rsidRDefault="00000000">
            <w:pPr>
              <w:spacing w:before="40" w:after="40"/>
            </w:pPr>
            <w:r>
              <w:rPr>
                <w:sz w:val="20"/>
                <w:szCs w:val="20"/>
              </w:rPr>
              <w:t>•  A suspicious link clicked or attachment opened.</w:t>
            </w:r>
          </w:p>
          <w:p w14:paraId="47F504F5" w14:textId="77777777" w:rsidR="00614225" w:rsidRDefault="00000000">
            <w:pPr>
              <w:spacing w:before="40" w:after="40"/>
            </w:pPr>
            <w:r>
              <w:rPr>
                <w:sz w:val="20"/>
                <w:szCs w:val="20"/>
              </w:rPr>
              <w:t>•  A payment made on instructions later identified or suspected as fraudulent.</w:t>
            </w:r>
          </w:p>
          <w:p w14:paraId="1DCBF32A" w14:textId="77777777" w:rsidR="00614225" w:rsidRDefault="00000000">
            <w:pPr>
              <w:spacing w:before="40" w:after="40"/>
            </w:pPr>
            <w:r>
              <w:rPr>
                <w:sz w:val="20"/>
                <w:szCs w:val="20"/>
              </w:rPr>
              <w:t>•  A ransom message, file-encryption symptom or unusual system behaviour.</w:t>
            </w:r>
          </w:p>
          <w:p w14:paraId="343C42AA" w14:textId="77777777" w:rsidR="00614225" w:rsidRDefault="00000000">
            <w:pPr>
              <w:spacing w:before="40" w:after="40"/>
            </w:pPr>
            <w:r>
              <w:rPr>
                <w:sz w:val="20"/>
                <w:szCs w:val="20"/>
              </w:rPr>
              <w:t>•  Any contact from an external party suggesting the firm’s data has been compromised.</w:t>
            </w:r>
          </w:p>
        </w:tc>
      </w:tr>
    </w:tbl>
    <w:p w14:paraId="62A023F7" w14:textId="77777777" w:rsidR="00614225" w:rsidRDefault="00614225">
      <w:pPr>
        <w:spacing w:after="100" w:line="276" w:lineRule="auto"/>
      </w:pPr>
    </w:p>
    <w:p w14:paraId="34909FF6" w14:textId="77777777" w:rsidR="00614225" w:rsidRDefault="00000000">
      <w:pPr>
        <w:spacing w:before="240" w:after="80"/>
      </w:pPr>
      <w:r>
        <w:rPr>
          <w:b/>
          <w:bCs/>
          <w:color w:val="1F3864"/>
        </w:rPr>
        <w:t>5. Devices, files and physical security</w:t>
      </w:r>
      <w:r>
        <w:rPr>
          <w:rStyle w:val="FootnoteReference"/>
        </w:rPr>
        <w:footnoteReference w:id="19"/>
      </w:r>
    </w:p>
    <w:p w14:paraId="2B55630E" w14:textId="77777777" w:rsidR="00614225" w:rsidRDefault="00000000">
      <w:pPr>
        <w:spacing w:before="80" w:after="120" w:line="276" w:lineRule="auto"/>
      </w:pPr>
      <w:r>
        <w:t>Apply the firm’s physical security controls alongside the technical ones.</w:t>
      </w:r>
    </w:p>
    <w:tbl>
      <w:tblPr>
        <w:tblW w:w="9026"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354"/>
        <w:gridCol w:w="3672"/>
      </w:tblGrid>
      <w:tr w:rsidR="00614225" w14:paraId="5623C521" w14:textId="77777777">
        <w:tblPrEx>
          <w:tblCellMar>
            <w:top w:w="0" w:type="dxa"/>
            <w:bottom w:w="0" w:type="dxa"/>
          </w:tblCellMar>
        </w:tblPrEx>
        <w:tc>
          <w:tcPr>
            <w:tcW w:w="5235" w:type="dxa"/>
            <w:tcMar>
              <w:top w:w="0" w:type="dxa"/>
              <w:left w:w="0" w:type="dxa"/>
              <w:bottom w:w="0" w:type="dxa"/>
              <w:right w:w="200" w:type="dxa"/>
            </w:tcMar>
          </w:tcPr>
          <w:p w14:paraId="05C5DCE4" w14:textId="77777777" w:rsidR="00614225" w:rsidRDefault="00000000">
            <w:pPr>
              <w:pStyle w:val="ListParagraph"/>
              <w:numPr>
                <w:ilvl w:val="0"/>
                <w:numId w:val="2"/>
              </w:numPr>
              <w:spacing w:before="40" w:after="40" w:line="276" w:lineRule="auto"/>
            </w:pPr>
            <w:r>
              <w:t>Lock your screen when you leave your desk.</w:t>
            </w:r>
          </w:p>
          <w:p w14:paraId="12B7D146" w14:textId="77777777" w:rsidR="00614225" w:rsidRDefault="00000000">
            <w:pPr>
              <w:pStyle w:val="ListParagraph"/>
              <w:numPr>
                <w:ilvl w:val="0"/>
                <w:numId w:val="2"/>
              </w:numPr>
              <w:spacing w:before="40" w:after="40" w:line="276" w:lineRule="auto"/>
            </w:pPr>
            <w:r>
              <w:t>Do not leave devices, paper files or USB drives in vehicles, public spaces or unattended bags.</w:t>
            </w:r>
          </w:p>
          <w:p w14:paraId="30E437FB" w14:textId="77777777" w:rsidR="00614225" w:rsidRDefault="00000000">
            <w:pPr>
              <w:pStyle w:val="ListParagraph"/>
              <w:numPr>
                <w:ilvl w:val="0"/>
                <w:numId w:val="2"/>
              </w:numPr>
              <w:spacing w:before="40" w:after="40" w:line="276" w:lineRule="auto"/>
            </w:pPr>
            <w:r>
              <w:t>Do not plug in unknown USB drives — use only firm-issued or sanctioned media.</w:t>
            </w:r>
          </w:p>
          <w:p w14:paraId="3E4471F3" w14:textId="77777777" w:rsidR="00614225" w:rsidRDefault="00000000">
            <w:pPr>
              <w:pStyle w:val="ListParagraph"/>
              <w:numPr>
                <w:ilvl w:val="0"/>
                <w:numId w:val="2"/>
              </w:numPr>
              <w:spacing w:before="40" w:after="40" w:line="276" w:lineRule="auto"/>
            </w:pPr>
            <w:r>
              <w:t xml:space="preserve">Use the firm’s approved </w:t>
            </w:r>
            <w:r>
              <w:rPr>
                <w:i/>
                <w:iCs/>
              </w:rPr>
              <w:t>encrypted</w:t>
            </w:r>
            <w:r>
              <w:t xml:space="preserve"> external storage for any data that must move physically.</w:t>
            </w:r>
          </w:p>
          <w:p w14:paraId="62D441FB" w14:textId="77777777" w:rsidR="00614225" w:rsidRDefault="00000000">
            <w:pPr>
              <w:pStyle w:val="ListParagraph"/>
              <w:numPr>
                <w:ilvl w:val="0"/>
                <w:numId w:val="2"/>
              </w:numPr>
              <w:spacing w:before="40" w:after="40" w:line="276" w:lineRule="auto"/>
            </w:pPr>
            <w:r>
              <w:t>Demonstrate how to use your encryption solution.</w:t>
            </w:r>
          </w:p>
          <w:p w14:paraId="03F417B3" w14:textId="77777777" w:rsidR="00614225" w:rsidRDefault="00000000">
            <w:pPr>
              <w:pStyle w:val="ListParagraph"/>
              <w:numPr>
                <w:ilvl w:val="0"/>
                <w:numId w:val="2"/>
              </w:numPr>
              <w:spacing w:before="40" w:after="40" w:line="276" w:lineRule="auto"/>
            </w:pPr>
            <w:r>
              <w:t>Report lost or stolen devices immediately — the firm may be able to revoke access remotely.</w:t>
            </w:r>
          </w:p>
          <w:p w14:paraId="463DD584" w14:textId="77777777" w:rsidR="00614225" w:rsidRDefault="00000000">
            <w:pPr>
              <w:pStyle w:val="ListParagraph"/>
              <w:numPr>
                <w:ilvl w:val="0"/>
                <w:numId w:val="2"/>
              </w:numPr>
              <w:spacing w:before="40" w:after="40" w:line="276" w:lineRule="auto"/>
            </w:pPr>
            <w:r>
              <w:t>Keep paper files secure: clean desks at end of day, locked storage for matter files, secure destruction for confidential paper.</w:t>
            </w:r>
          </w:p>
          <w:p w14:paraId="4D34F83A" w14:textId="77777777" w:rsidR="00614225" w:rsidRDefault="00000000">
            <w:pPr>
              <w:pStyle w:val="ListParagraph"/>
              <w:numPr>
                <w:ilvl w:val="0"/>
                <w:numId w:val="2"/>
              </w:numPr>
              <w:spacing w:before="40" w:after="40" w:line="276" w:lineRule="auto"/>
            </w:pPr>
            <w:r>
              <w:t>Don’t meet clients out of hours or in deserted locations.</w:t>
            </w:r>
          </w:p>
        </w:tc>
        <w:tc>
          <w:tcPr>
            <w:tcW w:w="3591" w:type="dxa"/>
            <w:tcBorders>
              <w:top w:val="single" w:sz="4" w:space="0" w:color="2F5496"/>
              <w:left w:val="single" w:sz="4" w:space="0" w:color="2F5496"/>
              <w:bottom w:val="single" w:sz="4" w:space="0" w:color="2F5496"/>
              <w:right w:val="single" w:sz="4" w:space="0" w:color="2F5496"/>
            </w:tcBorders>
            <w:shd w:val="clear" w:color="auto" w:fill="F0F4FA"/>
            <w:tcMar>
              <w:top w:w="120" w:type="dxa"/>
              <w:left w:w="140" w:type="dxa"/>
              <w:bottom w:w="120" w:type="dxa"/>
              <w:right w:w="140" w:type="dxa"/>
            </w:tcMar>
          </w:tcPr>
          <w:p w14:paraId="0423A9A8" w14:textId="77777777" w:rsidR="00614225" w:rsidRDefault="00000000">
            <w:pPr>
              <w:spacing w:after="80"/>
            </w:pPr>
            <w:r>
              <w:rPr>
                <w:b/>
                <w:bCs/>
                <w:color w:val="1F3864"/>
                <w:sz w:val="20"/>
                <w:szCs w:val="20"/>
              </w:rPr>
              <w:t>SRA v Claire Matthews [2020]</w:t>
            </w:r>
          </w:p>
          <w:p w14:paraId="67304AAD" w14:textId="77777777" w:rsidR="00614225" w:rsidRDefault="00000000">
            <w:pPr>
              <w:spacing w:before="40" w:after="40"/>
            </w:pPr>
            <w:r>
              <w:rPr>
                <w:sz w:val="19"/>
                <w:szCs w:val="19"/>
              </w:rPr>
              <w:t>A junior lawyer left a briefcase containing confidential documents on a train. She had been working long hours and became acutely anxious after the incident.</w:t>
            </w:r>
          </w:p>
          <w:p w14:paraId="42ADB4FA" w14:textId="77777777" w:rsidR="00614225" w:rsidRDefault="00000000">
            <w:pPr>
              <w:spacing w:before="40" w:after="40"/>
            </w:pPr>
            <w:r>
              <w:rPr>
                <w:sz w:val="19"/>
                <w:szCs w:val="19"/>
              </w:rPr>
              <w:t>Ms Matthews did not report the loss, hoping it would turn up. She evaded questions about it during the next few days.</w:t>
            </w:r>
          </w:p>
          <w:p w14:paraId="1D04A467" w14:textId="77777777" w:rsidR="00614225" w:rsidRDefault="00000000">
            <w:pPr>
              <w:spacing w:before="40" w:after="40"/>
            </w:pPr>
            <w:r>
              <w:rPr>
                <w:sz w:val="19"/>
                <w:szCs w:val="19"/>
              </w:rPr>
              <w:t>Outcome: struck off the roll of solicitors and ordered to pay prosecution costs. (Reversed on appeal)</w:t>
            </w:r>
          </w:p>
        </w:tc>
      </w:tr>
    </w:tbl>
    <w:p w14:paraId="354E684B" w14:textId="77777777" w:rsidR="00614225" w:rsidRDefault="00614225">
      <w:pPr>
        <w:spacing w:after="100" w:line="276" w:lineRule="auto"/>
      </w:pPr>
    </w:p>
    <w:p w14:paraId="1C03CEE7" w14:textId="77777777" w:rsidR="00614225" w:rsidRDefault="00000000">
      <w:pPr>
        <w:spacing w:before="240" w:after="80"/>
      </w:pPr>
      <w:r>
        <w:rPr>
          <w:b/>
          <w:bCs/>
          <w:color w:val="1F3864"/>
        </w:rPr>
        <w:lastRenderedPageBreak/>
        <w:t>6. Working from home and personally owned devices</w:t>
      </w:r>
      <w:r>
        <w:rPr>
          <w:rStyle w:val="FootnoteReference"/>
        </w:rPr>
        <w:footnoteReference w:id="20"/>
      </w:r>
    </w:p>
    <w:p w14:paraId="59253C99" w14:textId="22629035" w:rsidR="00614225" w:rsidRDefault="00000000">
      <w:pPr>
        <w:spacing w:before="80" w:after="120" w:line="276" w:lineRule="auto"/>
      </w:pPr>
      <w:r>
        <w:t>Remote-working risk is addressed in the firm’s WFH and B</w:t>
      </w:r>
      <w:r w:rsidR="00B765A0">
        <w:t xml:space="preserve">ring </w:t>
      </w:r>
      <w:r>
        <w:t>Y</w:t>
      </w:r>
      <w:r w:rsidR="00B765A0">
        <w:t xml:space="preserve">our </w:t>
      </w:r>
      <w:r>
        <w:t>O</w:t>
      </w:r>
      <w:r w:rsidR="00B765A0">
        <w:t xml:space="preserve">wn </w:t>
      </w:r>
      <w:r>
        <w:t>D</w:t>
      </w:r>
      <w:r w:rsidR="00B765A0">
        <w:t>evice (BYOD)</w:t>
      </w:r>
      <w:r>
        <w:t xml:space="preserve"> policies.</w:t>
      </w:r>
    </w:p>
    <w:p w14:paraId="04929AC5" w14:textId="77777777" w:rsidR="00614225" w:rsidRDefault="00000000">
      <w:pPr>
        <w:pStyle w:val="ListParagraph"/>
        <w:numPr>
          <w:ilvl w:val="0"/>
          <w:numId w:val="2"/>
        </w:numPr>
        <w:spacing w:before="40" w:after="40" w:line="276" w:lineRule="auto"/>
      </w:pPr>
      <w:r>
        <w:t>Use the firm’s remote access tools — do not work directly on personal cloud storage or personal email.</w:t>
      </w:r>
    </w:p>
    <w:p w14:paraId="07481B3C" w14:textId="77777777" w:rsidR="00614225" w:rsidRDefault="00000000">
      <w:pPr>
        <w:pStyle w:val="ListParagraph"/>
        <w:numPr>
          <w:ilvl w:val="0"/>
          <w:numId w:val="2"/>
        </w:numPr>
        <w:spacing w:before="40" w:after="40" w:line="276" w:lineRule="auto"/>
      </w:pPr>
      <w:r>
        <w:t xml:space="preserve">Ensure home Wi-Fi is password-protected; avoid public Wi-Fi for client </w:t>
      </w:r>
      <w:proofErr w:type="gramStart"/>
      <w:r>
        <w:t>work, or</w:t>
      </w:r>
      <w:proofErr w:type="gramEnd"/>
      <w:r>
        <w:t xml:space="preserve"> use the firm’s VPN.</w:t>
      </w:r>
    </w:p>
    <w:p w14:paraId="744991F4" w14:textId="77777777" w:rsidR="00614225" w:rsidRDefault="00000000">
      <w:pPr>
        <w:pStyle w:val="ListParagraph"/>
        <w:numPr>
          <w:ilvl w:val="0"/>
          <w:numId w:val="2"/>
        </w:numPr>
        <w:spacing w:before="40" w:after="40" w:line="276" w:lineRule="auto"/>
      </w:pPr>
      <w:r>
        <w:t>Position your screen so that nobody behind you can see the contents. This is especially important in cafes or on flights, but also at home.</w:t>
      </w:r>
    </w:p>
    <w:p w14:paraId="45713095" w14:textId="77777777" w:rsidR="00614225" w:rsidRDefault="00000000">
      <w:pPr>
        <w:pStyle w:val="ListParagraph"/>
        <w:numPr>
          <w:ilvl w:val="0"/>
          <w:numId w:val="2"/>
        </w:numPr>
        <w:spacing w:before="40" w:after="40" w:line="276" w:lineRule="auto"/>
      </w:pPr>
      <w:r>
        <w:t>Lock the screen whenever you step away — home is not necessarily a private workplace.</w:t>
      </w:r>
    </w:p>
    <w:p w14:paraId="2261902F" w14:textId="77777777" w:rsidR="00614225" w:rsidRDefault="00000000">
      <w:pPr>
        <w:pStyle w:val="ListParagraph"/>
        <w:numPr>
          <w:ilvl w:val="0"/>
          <w:numId w:val="2"/>
        </w:numPr>
        <w:spacing w:before="40" w:after="40" w:line="276" w:lineRule="auto"/>
      </w:pPr>
      <w:r>
        <w:t>Use of personally owned devices for firm work is subject to the firm’s BYOD policy and to any device management software the firm requires.</w:t>
      </w:r>
    </w:p>
    <w:p w14:paraId="578590B6" w14:textId="77777777" w:rsidR="00614225" w:rsidRDefault="00000000">
      <w:pPr>
        <w:spacing w:before="60" w:after="60"/>
        <w:ind w:left="540"/>
      </w:pPr>
      <w:r>
        <w:rPr>
          <w:i/>
          <w:iCs/>
          <w:color w:val="666666"/>
          <w:sz w:val="20"/>
          <w:szCs w:val="20"/>
        </w:rPr>
        <w:t>Demonstrate the firm’s VPN, MFA and secure file-transfer tools during the session — do not rely on staff to learn this from documentation alone.</w:t>
      </w:r>
    </w:p>
    <w:p w14:paraId="2FFA4246" w14:textId="77777777" w:rsidR="00614225" w:rsidRDefault="00000000">
      <w:pPr>
        <w:spacing w:before="240" w:after="80"/>
      </w:pPr>
      <w:r>
        <w:rPr>
          <w:b/>
          <w:bCs/>
          <w:color w:val="1F3864"/>
        </w:rPr>
        <w:t>7. Backups, software updates and supported tools</w:t>
      </w:r>
    </w:p>
    <w:p w14:paraId="2ECD3CD1" w14:textId="77777777" w:rsidR="00614225" w:rsidRDefault="00000000">
      <w:pPr>
        <w:pStyle w:val="ListParagraph"/>
        <w:numPr>
          <w:ilvl w:val="0"/>
          <w:numId w:val="2"/>
        </w:numPr>
        <w:spacing w:before="40" w:after="40" w:line="276" w:lineRule="auto"/>
      </w:pPr>
      <w:r>
        <w:t>Save matter work to the firm’s document management system — do not rely on local drives or personal cloud.</w:t>
      </w:r>
    </w:p>
    <w:p w14:paraId="12A2D90C" w14:textId="77777777" w:rsidR="00614225" w:rsidRDefault="00000000">
      <w:pPr>
        <w:pStyle w:val="ListParagraph"/>
        <w:numPr>
          <w:ilvl w:val="0"/>
          <w:numId w:val="2"/>
        </w:numPr>
        <w:spacing w:before="40" w:after="40" w:line="276" w:lineRule="auto"/>
      </w:pPr>
      <w:r>
        <w:t>Apply operating system and application updates promptly when prompted — do not defer indefinitely. These should be automatic, but manual checks should also be applied.</w:t>
      </w:r>
    </w:p>
    <w:p w14:paraId="0C6D60E7" w14:textId="77777777" w:rsidR="00614225" w:rsidRDefault="00000000">
      <w:pPr>
        <w:pStyle w:val="ListParagraph"/>
        <w:numPr>
          <w:ilvl w:val="0"/>
          <w:numId w:val="2"/>
        </w:numPr>
        <w:spacing w:before="40" w:after="40" w:line="276" w:lineRule="auto"/>
      </w:pPr>
      <w:r>
        <w:t>Use only firm-approved software, AI tools and browser extensions; report any tool you would like added to the approved list before using it.</w:t>
      </w:r>
    </w:p>
    <w:p w14:paraId="5B2B3297" w14:textId="77777777" w:rsidR="00614225" w:rsidRDefault="00000000">
      <w:pPr>
        <w:pStyle w:val="ListParagraph"/>
        <w:numPr>
          <w:ilvl w:val="0"/>
          <w:numId w:val="2"/>
        </w:numPr>
        <w:spacing w:before="40" w:after="40" w:line="276" w:lineRule="auto"/>
      </w:pPr>
      <w:r>
        <w:t>If a system warns you about an untrusted certificate, sender or download, stop and ask IT.</w:t>
      </w:r>
    </w:p>
    <w:p w14:paraId="05F7846E" w14:textId="77777777" w:rsidR="00614225" w:rsidRDefault="00000000">
      <w:pPr>
        <w:spacing w:before="240" w:after="80"/>
      </w:pPr>
      <w:r>
        <w:rPr>
          <w:b/>
          <w:bCs/>
          <w:color w:val="1F3864"/>
        </w:rPr>
        <w:t>8. AI tools — cybersecurity dimension</w:t>
      </w:r>
    </w:p>
    <w:p w14:paraId="03A01DD2" w14:textId="77777777" w:rsidR="00614225" w:rsidRDefault="00000000">
      <w:pPr>
        <w:spacing w:before="80" w:after="120" w:line="276" w:lineRule="auto"/>
      </w:pPr>
      <w:r>
        <w:t>AI tools are a cybersecurity issue as well as a confidentiality issue. Staff should:</w:t>
      </w:r>
    </w:p>
    <w:p w14:paraId="30A4BB0F" w14:textId="77777777" w:rsidR="00614225" w:rsidRDefault="00000000">
      <w:pPr>
        <w:pStyle w:val="ListParagraph"/>
        <w:numPr>
          <w:ilvl w:val="0"/>
          <w:numId w:val="2"/>
        </w:numPr>
        <w:spacing w:before="40" w:after="40" w:line="276" w:lineRule="auto"/>
      </w:pPr>
      <w:r>
        <w:t>use only AI tools on the firm’s approved list, and only within the matter scope permitted;</w:t>
      </w:r>
    </w:p>
    <w:p w14:paraId="3AA90A03" w14:textId="77777777" w:rsidR="00614225" w:rsidRDefault="00000000">
      <w:pPr>
        <w:pStyle w:val="ListParagraph"/>
        <w:numPr>
          <w:ilvl w:val="0"/>
          <w:numId w:val="2"/>
        </w:numPr>
        <w:spacing w:before="40" w:after="40" w:line="276" w:lineRule="auto"/>
      </w:pPr>
      <w:r>
        <w:t>never paste client identifying information, sensitive information or privileged material into a public or unapproved AI tool; and</w:t>
      </w:r>
    </w:p>
    <w:p w14:paraId="01F1ED96" w14:textId="77777777" w:rsidR="00614225" w:rsidRDefault="00000000">
      <w:pPr>
        <w:pStyle w:val="ListParagraph"/>
        <w:numPr>
          <w:ilvl w:val="0"/>
          <w:numId w:val="2"/>
        </w:numPr>
        <w:spacing w:before="40" w:after="40" w:line="276" w:lineRule="auto"/>
      </w:pPr>
      <w:r>
        <w:t>be aware that the firm’s AI policy and any applicable court practice direction may require special privacy assessment before putting specific classes of document into an AI tool.</w:t>
      </w:r>
    </w:p>
    <w:p w14:paraId="22CD69B7" w14:textId="77777777" w:rsidR="00614225" w:rsidRDefault="00000000">
      <w:pPr>
        <w:spacing w:before="240" w:after="80"/>
      </w:pPr>
      <w:r>
        <w:rPr>
          <w:b/>
          <w:bCs/>
          <w:color w:val="1F3864"/>
        </w:rPr>
        <w:t>9. Delivery and reinforcement</w:t>
      </w:r>
    </w:p>
    <w:p w14:paraId="3D5D499A" w14:textId="77777777" w:rsidR="00614225" w:rsidRDefault="00000000">
      <w:pPr>
        <w:pStyle w:val="ListParagraph"/>
        <w:numPr>
          <w:ilvl w:val="0"/>
          <w:numId w:val="2"/>
        </w:numPr>
        <w:spacing w:before="40" w:after="40" w:line="276" w:lineRule="auto"/>
      </w:pPr>
      <w:r>
        <w:t>Combine a short briefing (20–30 minutes) with hands-on demonstration of systems such as MFA, the password manager, secure file transfer and the phishing reporting channel.</w:t>
      </w:r>
    </w:p>
    <w:p w14:paraId="3EDD74A8" w14:textId="77777777" w:rsidR="00614225" w:rsidRDefault="00000000">
      <w:pPr>
        <w:pStyle w:val="ListParagraph"/>
        <w:numPr>
          <w:ilvl w:val="0"/>
          <w:numId w:val="2"/>
        </w:numPr>
        <w:spacing w:before="40" w:after="40" w:line="276" w:lineRule="auto"/>
      </w:pPr>
      <w:r>
        <w:t>For technical content beyond the firm’s own systems, consider an external trainer or vendor-provided session.</w:t>
      </w:r>
    </w:p>
    <w:p w14:paraId="50D13775" w14:textId="77777777" w:rsidR="00614225" w:rsidRDefault="00000000">
      <w:pPr>
        <w:pStyle w:val="ListParagraph"/>
        <w:numPr>
          <w:ilvl w:val="0"/>
          <w:numId w:val="2"/>
        </w:numPr>
        <w:spacing w:before="40" w:after="40" w:line="276" w:lineRule="auto"/>
      </w:pPr>
      <w:r>
        <w:lastRenderedPageBreak/>
        <w:t>Supplement training with periodic phishing simulations and a documented review of results — the OAIC and ASD treat simulations as a reasonable component of awareness.</w:t>
      </w:r>
    </w:p>
    <w:p w14:paraId="054968F6" w14:textId="77777777" w:rsidR="00614225" w:rsidRDefault="00000000">
      <w:pPr>
        <w:pStyle w:val="ListParagraph"/>
        <w:numPr>
          <w:ilvl w:val="0"/>
          <w:numId w:val="2"/>
        </w:numPr>
        <w:spacing w:before="40" w:after="40" w:line="276" w:lineRule="auto"/>
      </w:pPr>
      <w:r>
        <w:t>Retain attendance, demonstration completion and any simulation results in the training register.</w:t>
      </w:r>
    </w:p>
    <w:p w14:paraId="47A2EC05" w14:textId="77777777" w:rsidR="00614225" w:rsidRDefault="00000000">
      <w:pPr>
        <w:spacing w:before="60" w:after="60"/>
        <w:ind w:left="540"/>
      </w:pPr>
      <w:r>
        <w:rPr>
          <w:i/>
          <w:iCs/>
          <w:color w:val="666666"/>
          <w:sz w:val="20"/>
          <w:szCs w:val="20"/>
        </w:rPr>
        <w:t>Tailor the cybersecurity refresher cadence to the firm’s incident history and specific policies. Consider getting your IT support to do training explaining what protections are in place and how to use them.</w:t>
      </w:r>
    </w:p>
    <w:sectPr w:rsidR="00614225">
      <w:headerReference w:type="default" r:id="rId9"/>
      <w:footerReference w:type="default" r:id="rId10"/>
      <w:pgSz w:w="11906" w:h="16838"/>
      <w:pgMar w:top="1134" w:right="1440" w:bottom="1134"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00531" w14:textId="77777777" w:rsidR="00FE0F97" w:rsidRDefault="00FE0F97">
      <w:r>
        <w:separator/>
      </w:r>
    </w:p>
  </w:endnote>
  <w:endnote w:type="continuationSeparator" w:id="0">
    <w:p w14:paraId="70F867C8" w14:textId="77777777" w:rsidR="00FE0F97" w:rsidRDefault="00FE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F3B0E" w14:textId="77777777" w:rsidR="00614225" w:rsidRDefault="00000000">
    <w:pP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464828">
      <w:rPr>
        <w:noProof/>
        <w:color w:val="666666"/>
        <w:sz w:val="18"/>
        <w:szCs w:val="18"/>
      </w:rPr>
      <w:t>1</w:t>
    </w:r>
    <w:r>
      <w:rPr>
        <w:color w:val="666666"/>
        <w:sz w:val="18"/>
        <w:szCs w:val="18"/>
      </w:rPr>
      <w:fldChar w:fldCharType="end"/>
    </w:r>
    <w:r>
      <w:rPr>
        <w:color w:val="666666"/>
        <w:sz w:val="18"/>
        <w:szCs w:val="18"/>
      </w:rPr>
      <w:t xml:space="preserve"> of </w:t>
    </w:r>
    <w:r>
      <w:rPr>
        <w:color w:val="666666"/>
        <w:sz w:val="18"/>
        <w:szCs w:val="18"/>
      </w:rPr>
      <w:fldChar w:fldCharType="begin"/>
    </w:r>
    <w:r>
      <w:rPr>
        <w:color w:val="666666"/>
        <w:sz w:val="18"/>
        <w:szCs w:val="18"/>
      </w:rPr>
      <w:instrText>NUMPAGES</w:instrText>
    </w:r>
    <w:r>
      <w:rPr>
        <w:color w:val="666666"/>
        <w:sz w:val="18"/>
        <w:szCs w:val="18"/>
      </w:rPr>
      <w:fldChar w:fldCharType="separate"/>
    </w:r>
    <w:r w:rsidR="00464828">
      <w:rPr>
        <w:noProof/>
        <w:color w:val="666666"/>
        <w:sz w:val="18"/>
        <w:szCs w:val="18"/>
      </w:rPr>
      <w:t>2</w:t>
    </w:r>
    <w:r>
      <w:rPr>
        <w:color w:val="666666"/>
        <w:sz w:val="18"/>
        <w:szCs w:val="18"/>
      </w:rPr>
      <w:fldChar w:fldCharType="end"/>
    </w:r>
    <w:r>
      <w:rPr>
        <w:color w:val="666666"/>
        <w:sz w:val="18"/>
        <w:szCs w:val="18"/>
      </w:rPr>
      <w:t xml:space="preserve">  ·  QLS Privacy Toolkit — Document 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2117C" w14:textId="77777777" w:rsidR="00FE0F97" w:rsidRDefault="00FE0F97">
      <w:r>
        <w:separator/>
      </w:r>
    </w:p>
  </w:footnote>
  <w:footnote w:type="continuationSeparator" w:id="0">
    <w:p w14:paraId="198CB865" w14:textId="77777777" w:rsidR="00FE0F97" w:rsidRDefault="00FE0F97">
      <w:r>
        <w:continuationSeparator/>
      </w:r>
    </w:p>
  </w:footnote>
  <w:footnote w:id="1">
    <w:p w14:paraId="778B7A84" w14:textId="077D4562" w:rsidR="00614225" w:rsidRDefault="00000000">
      <w:r>
        <w:rPr>
          <w:rStyle w:val="FootnoteReference"/>
        </w:rPr>
        <w:footnoteRef/>
      </w:r>
      <w:r>
        <w:rPr>
          <w:sz w:val="18"/>
          <w:szCs w:val="18"/>
        </w:rPr>
        <w:t>See Privacy Compliance Manual, Ch 1.5 (OAIC Guidance Informing This Manual) and Ch 14.2 (Governance and Accountability)</w:t>
      </w:r>
      <w:r w:rsidR="00464828">
        <w:rPr>
          <w:sz w:val="18"/>
          <w:szCs w:val="18"/>
        </w:rPr>
        <w:t>.</w:t>
      </w:r>
      <w:r>
        <w:rPr>
          <w:sz w:val="18"/>
          <w:szCs w:val="18"/>
        </w:rPr>
        <w:t xml:space="preserve"> The Manual adopts the OAIC’s Privacy Management Framework as its organising structure.</w:t>
      </w:r>
    </w:p>
  </w:footnote>
  <w:footnote w:id="2">
    <w:p w14:paraId="3CE80507" w14:textId="5C76FB25" w:rsidR="00614225" w:rsidRDefault="00000000">
      <w:r>
        <w:rPr>
          <w:rStyle w:val="FootnoteReference"/>
        </w:rPr>
        <w:footnoteRef/>
      </w:r>
      <w:r>
        <w:rPr>
          <w:sz w:val="18"/>
          <w:szCs w:val="18"/>
        </w:rPr>
        <w:t>See Privacy Compliance Manual, Ch 17.2 (Who Needs Training)</w:t>
      </w:r>
      <w:r w:rsidR="00464828">
        <w:rPr>
          <w:sz w:val="18"/>
          <w:szCs w:val="18"/>
        </w:rPr>
        <w:t>.</w:t>
      </w:r>
      <w:r>
        <w:rPr>
          <w:sz w:val="18"/>
          <w:szCs w:val="18"/>
        </w:rPr>
        <w:t xml:space="preserve"> for the role-to-training mapping table that informs this schedule.</w:t>
      </w:r>
    </w:p>
  </w:footnote>
  <w:footnote w:id="3">
    <w:p w14:paraId="2C15A6C0" w14:textId="05169119" w:rsidR="00614225" w:rsidRDefault="00000000">
      <w:r>
        <w:rPr>
          <w:rStyle w:val="FootnoteReference"/>
        </w:rPr>
        <w:footnoteRef/>
      </w:r>
      <w:r>
        <w:rPr>
          <w:sz w:val="18"/>
          <w:szCs w:val="18"/>
        </w:rPr>
        <w:t>See Privacy Compliance Manual, Ch 17.4 (Training Delivery and Documentation)</w:t>
      </w:r>
      <w:r w:rsidR="00464828">
        <w:rPr>
          <w:sz w:val="18"/>
          <w:szCs w:val="18"/>
        </w:rPr>
        <w:t xml:space="preserve">. </w:t>
      </w:r>
      <w:r>
        <w:rPr>
          <w:sz w:val="18"/>
          <w:szCs w:val="18"/>
        </w:rPr>
        <w:t>The training register is a mandatory component of the firm’s privacy management framework and is expected to be available on regulator request.</w:t>
      </w:r>
    </w:p>
  </w:footnote>
  <w:footnote w:id="4">
    <w:p w14:paraId="55AAD8FC" w14:textId="77777777" w:rsidR="00614225" w:rsidRDefault="00000000">
      <w:r>
        <w:rPr>
          <w:rStyle w:val="FootnoteReference"/>
        </w:rPr>
        <w:footnoteRef/>
      </w:r>
      <w:r>
        <w:rPr>
          <w:sz w:val="18"/>
          <w:szCs w:val="18"/>
        </w:rPr>
        <w:t>See Privacy Compliance Manual, Ch 2.1 (The AML/CTF Tranche 2 Trigger) and Ch 9.1 (The AML/CTF Trigger for Privacy Obligations) [pp. __]. Other Privacy Act triggers (annual turnover above $3 million, trading in personal information, related-body status) are addressed at Ch 2.3 (Which Law Firms Are Affected?).</w:t>
      </w:r>
    </w:p>
  </w:footnote>
  <w:footnote w:id="5">
    <w:p w14:paraId="16530F18" w14:textId="77777777" w:rsidR="00614225" w:rsidRDefault="00000000">
      <w:r>
        <w:rPr>
          <w:rStyle w:val="FootnoteReference"/>
        </w:rPr>
        <w:footnoteRef/>
      </w:r>
      <w:r>
        <w:rPr>
          <w:sz w:val="18"/>
          <w:szCs w:val="18"/>
        </w:rPr>
        <w:t>See Privacy Compliance Manual, Ch 7.4 (Key Definitions) and Ch 20 (Glossary) [pp. __] for the statutory definitions of “personal information” and “sensitive information”.</w:t>
      </w:r>
    </w:p>
  </w:footnote>
  <w:footnote w:id="6">
    <w:p w14:paraId="0B76D381" w14:textId="77777777" w:rsidR="00614225" w:rsidRDefault="00000000">
      <w:r>
        <w:rPr>
          <w:rStyle w:val="FootnoteReference"/>
        </w:rPr>
        <w:footnoteRef/>
      </w:r>
      <w:r>
        <w:rPr>
          <w:sz w:val="18"/>
          <w:szCs w:val="18"/>
        </w:rPr>
        <w:t>See Privacy Compliance Manual, Ch 2.4 (Consequences of Non-Compliance) [p. __]. Civil penalty thresholds and the statutory tort for serious invasions of privacy (commenced June 2025) are summarised there.</w:t>
      </w:r>
    </w:p>
  </w:footnote>
  <w:footnote w:id="7">
    <w:p w14:paraId="689CAFC9" w14:textId="77777777" w:rsidR="00614225" w:rsidRDefault="00000000">
      <w:r>
        <w:rPr>
          <w:rStyle w:val="FootnoteReference"/>
        </w:rPr>
        <w:footnoteRef/>
      </w:r>
      <w:r>
        <w:rPr>
          <w:sz w:val="18"/>
          <w:szCs w:val="18"/>
        </w:rPr>
        <w:t xml:space="preserve">See Privacy Compliance Manual, Ch 14 (Security Measures), </w:t>
      </w:r>
      <w:proofErr w:type="gramStart"/>
      <w:r>
        <w:rPr>
          <w:sz w:val="18"/>
          <w:szCs w:val="18"/>
        </w:rPr>
        <w:t>in particular</w:t>
      </w:r>
      <w:proofErr w:type="gramEnd"/>
      <w:r>
        <w:rPr>
          <w:sz w:val="18"/>
          <w:szCs w:val="18"/>
        </w:rPr>
        <w:t xml:space="preserve"> Ch 14.3 (Technical Security Measures) and Ch 14.5 (Personnel Security Measures) [pp. __].</w:t>
      </w:r>
    </w:p>
  </w:footnote>
  <w:footnote w:id="8">
    <w:p w14:paraId="5E10AD80" w14:textId="77777777" w:rsidR="00614225" w:rsidRDefault="00000000">
      <w:r>
        <w:rPr>
          <w:rStyle w:val="FootnoteReference"/>
        </w:rPr>
        <w:footnoteRef/>
      </w:r>
      <w:r>
        <w:rPr>
          <w:sz w:val="18"/>
          <w:szCs w:val="18"/>
        </w:rPr>
        <w:t>See Privacy Compliance Manual, Ch 8.3 (APP 5 — Notification of Collection) and Ch 9 (Integrating Privacy and AML/CTF Compliance), in particular the Privacy/AML/CTF Information Lifecycle table at Ch 9.2 [pp. __]. The firm’s collection notice templates are at Toolkit Document 3.</w:t>
      </w:r>
    </w:p>
  </w:footnote>
  <w:footnote w:id="9">
    <w:p w14:paraId="40DCEE87" w14:textId="67FD6CBA" w:rsidR="00614225" w:rsidRDefault="00000000">
      <w:r>
        <w:rPr>
          <w:rStyle w:val="FootnoteReference"/>
        </w:rPr>
        <w:footnoteRef/>
      </w:r>
      <w:r>
        <w:rPr>
          <w:sz w:val="18"/>
          <w:szCs w:val="18"/>
        </w:rPr>
        <w:t>See Privacy Compliance Manual, Ch 8.5 (APP 11 — Security of Personal Information, including destruction and de-identification) and Ch 9.2 (Privacy/AML/CTF Information Lifecycle). The firm’s consolidated retention schedule is at Toolkit Document 4.</w:t>
      </w:r>
    </w:p>
  </w:footnote>
  <w:footnote w:id="10">
    <w:p w14:paraId="76B78183" w14:textId="004100BA" w:rsidR="00614225" w:rsidRDefault="00000000">
      <w:r>
        <w:rPr>
          <w:rStyle w:val="FootnoteReference"/>
        </w:rPr>
        <w:footnoteRef/>
      </w:r>
      <w:r>
        <w:rPr>
          <w:sz w:val="18"/>
          <w:szCs w:val="18"/>
        </w:rPr>
        <w:t>See Privacy Compliance Manual, Ch 13 (Implementation Roadmap), in particular Ch 13.3 (Phase 2: Documentation). The firm’s AI use guardrails should be read with QLS Guidance Statement No 37 (AI in Legal Practice) and any applicable court practice direction.</w:t>
      </w:r>
    </w:p>
  </w:footnote>
  <w:footnote w:id="11">
    <w:p w14:paraId="78F081F0" w14:textId="58C59B49" w:rsidR="00614225" w:rsidRDefault="00000000">
      <w:r>
        <w:rPr>
          <w:rStyle w:val="FootnoteReference"/>
        </w:rPr>
        <w:footnoteRef/>
      </w:r>
      <w:r>
        <w:rPr>
          <w:sz w:val="18"/>
          <w:szCs w:val="18"/>
        </w:rPr>
        <w:t>See Privacy Compliance Manual, Ch 15 (Breach Response) and the four-step quick reference at Ch 21.3 (Data Breach Immediate Response). The firm’s breach response plan is at Toolkit Document 5.</w:t>
      </w:r>
    </w:p>
  </w:footnote>
  <w:footnote w:id="12">
    <w:p w14:paraId="3DB5BE10" w14:textId="77777777" w:rsidR="00614225" w:rsidRDefault="00000000">
      <w:r>
        <w:rPr>
          <w:rStyle w:val="FootnoteReference"/>
        </w:rPr>
        <w:footnoteRef/>
      </w:r>
      <w:r>
        <w:rPr>
          <w:sz w:val="18"/>
          <w:szCs w:val="18"/>
        </w:rPr>
        <w:t>See Privacy Compliance Manual, Ch 17.1 (Why Training Matters). The refresher discharges the OAIC’s Privacy Management Framework expectation of ongoing reinforcement and forms part of the firm’s compliance defence in the event of a regulator interaction.</w:t>
      </w:r>
    </w:p>
  </w:footnote>
  <w:footnote w:id="13">
    <w:p w14:paraId="0049389E" w14:textId="77777777" w:rsidR="00614225" w:rsidRDefault="00000000">
      <w:r>
        <w:rPr>
          <w:rStyle w:val="FootnoteReference"/>
        </w:rPr>
        <w:footnoteRef/>
      </w:r>
      <w:r>
        <w:rPr>
          <w:sz w:val="18"/>
          <w:szCs w:val="18"/>
        </w:rPr>
        <w:t>See Privacy Compliance Manual, Ch 1.6 (Keeping This Manual Current) and Ch 19 (Resources and References). Material changes in OAIC guidance, legislation, or firm policy should be reflected in the next refresher cycle or sooner if the change is significant.</w:t>
      </w:r>
    </w:p>
  </w:footnote>
  <w:footnote w:id="14">
    <w:p w14:paraId="140DBFD8" w14:textId="399D3E51" w:rsidR="00614225" w:rsidRDefault="00000000">
      <w:r>
        <w:rPr>
          <w:rStyle w:val="FootnoteReference"/>
        </w:rPr>
        <w:footnoteRef/>
      </w:r>
      <w:r>
        <w:rPr>
          <w:sz w:val="18"/>
          <w:szCs w:val="18"/>
        </w:rPr>
        <w:t xml:space="preserve">See Privacy Compliance Manual, Ch 16 (Access and Correction Requests) and the six-step quick reference at Ch 21.2 (Access Request Handling Quick Guide) </w:t>
      </w:r>
    </w:p>
  </w:footnote>
  <w:footnote w:id="15">
    <w:p w14:paraId="6E858F05" w14:textId="77777777" w:rsidR="00614225" w:rsidRDefault="00000000">
      <w:r>
        <w:rPr>
          <w:rStyle w:val="FootnoteReference"/>
        </w:rPr>
        <w:footnoteRef/>
      </w:r>
      <w:r>
        <w:rPr>
          <w:sz w:val="18"/>
          <w:szCs w:val="18"/>
        </w:rPr>
        <w:t>This exact scenario led to a multi-million-dollar loss when the “read-out-read-back” call went to the attacker using the new number.</w:t>
      </w:r>
    </w:p>
  </w:footnote>
  <w:footnote w:id="16">
    <w:p w14:paraId="14CC9AF3" w14:textId="07DB9DB4" w:rsidR="00614225" w:rsidRDefault="00000000">
      <w:r>
        <w:rPr>
          <w:rStyle w:val="FootnoteReference"/>
        </w:rPr>
        <w:footnoteRef/>
      </w:r>
      <w:r>
        <w:rPr>
          <w:sz w:val="18"/>
          <w:szCs w:val="18"/>
        </w:rPr>
        <w:t>See Privacy Compliance Manual, Ch 14 (Security Measures)</w:t>
      </w:r>
      <w:r w:rsidR="00464828">
        <w:rPr>
          <w:sz w:val="18"/>
          <w:szCs w:val="18"/>
        </w:rPr>
        <w:t>. T</w:t>
      </w:r>
      <w:r>
        <w:rPr>
          <w:sz w:val="18"/>
          <w:szCs w:val="18"/>
        </w:rPr>
        <w:t>he OAIC’s Guide to Securing Personal Information is treated as the de facto benchmark for “reasonable steps” under APP 11; the ACSC Essential Eight and SMB1001 provide complementary technical frameworks.</w:t>
      </w:r>
    </w:p>
  </w:footnote>
  <w:footnote w:id="17">
    <w:p w14:paraId="08612A22" w14:textId="197475C5" w:rsidR="00614225" w:rsidRDefault="00000000">
      <w:r>
        <w:rPr>
          <w:rStyle w:val="FootnoteReference"/>
        </w:rPr>
        <w:footnoteRef/>
      </w:r>
      <w:r>
        <w:rPr>
          <w:sz w:val="18"/>
          <w:szCs w:val="18"/>
        </w:rPr>
        <w:t>See Privacy Compliance Manual, Ch 14.3 (Technical Security Measures). Multi-factor authentication is identified as a baseline control across the OAIC, ACSC, ARNECC and Lexon frameworks.</w:t>
      </w:r>
    </w:p>
  </w:footnote>
  <w:footnote w:id="18">
    <w:p w14:paraId="129A0344" w14:textId="780F12AC" w:rsidR="00614225" w:rsidRDefault="00000000">
      <w:r>
        <w:rPr>
          <w:rStyle w:val="FootnoteReference"/>
        </w:rPr>
        <w:footnoteRef/>
      </w:r>
      <w:r>
        <w:rPr>
          <w:sz w:val="18"/>
          <w:szCs w:val="18"/>
        </w:rPr>
        <w:t>See Privacy Compliance Manual, Ch 15 (Breach Response) and the immediate-response checklist at Ch 21.3. Notification timeframes under the Notifiable Data Breaches scheme are addressed at Ch 15.</w:t>
      </w:r>
    </w:p>
  </w:footnote>
  <w:footnote w:id="19">
    <w:p w14:paraId="397C01EC" w14:textId="77777777" w:rsidR="00614225" w:rsidRDefault="00000000">
      <w:r>
        <w:rPr>
          <w:rStyle w:val="FootnoteReference"/>
        </w:rPr>
        <w:footnoteRef/>
      </w:r>
      <w:r>
        <w:rPr>
          <w:sz w:val="18"/>
          <w:szCs w:val="18"/>
        </w:rPr>
        <w:t>See Privacy Compliance Manual, Ch 14.4 (Physical Security Measures).</w:t>
      </w:r>
    </w:p>
  </w:footnote>
  <w:footnote w:id="20">
    <w:p w14:paraId="656299BE" w14:textId="77777777" w:rsidR="00614225" w:rsidRDefault="00000000">
      <w:r>
        <w:rPr>
          <w:rStyle w:val="FootnoteReference"/>
        </w:rPr>
        <w:footnoteRef/>
      </w:r>
      <w:r>
        <w:rPr>
          <w:sz w:val="18"/>
          <w:szCs w:val="18"/>
        </w:rPr>
        <w:t>See Privacy Compliance Manual, Ch 14.3 (Technical Security Measures), Ch 14.5 (Personnel Security Measures) and Ch 17.3 (Core Training Content) on remote working and personally owned device controls.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026D" w14:textId="77777777" w:rsidR="00614225" w:rsidRDefault="00000000">
    <w:pPr>
      <w:pBdr>
        <w:bottom w:val="single" w:sz="4" w:space="4" w:color="CCCCCC"/>
      </w:pBdr>
      <w:jc w:val="right"/>
    </w:pPr>
    <w:r>
      <w:rPr>
        <w:color w:val="666666"/>
        <w:sz w:val="18"/>
        <w:szCs w:val="18"/>
      </w:rPr>
      <w:t>[FIRM NAME] — Privacy and Confidentiality Awareness Training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053A2"/>
    <w:multiLevelType w:val="hybridMultilevel"/>
    <w:tmpl w:val="4D5E9180"/>
    <w:lvl w:ilvl="0" w:tplc="442CD938">
      <w:start w:val="1"/>
      <w:numFmt w:val="bullet"/>
      <w:lvlText w:val="•"/>
      <w:lvlJc w:val="left"/>
      <w:pPr>
        <w:ind w:left="540" w:hanging="270"/>
      </w:pPr>
    </w:lvl>
    <w:lvl w:ilvl="1" w:tplc="F8602E28">
      <w:numFmt w:val="decimal"/>
      <w:lvlText w:val=""/>
      <w:lvlJc w:val="left"/>
    </w:lvl>
    <w:lvl w:ilvl="2" w:tplc="13145C10">
      <w:numFmt w:val="decimal"/>
      <w:lvlText w:val=""/>
      <w:lvlJc w:val="left"/>
    </w:lvl>
    <w:lvl w:ilvl="3" w:tplc="50F66134">
      <w:numFmt w:val="decimal"/>
      <w:lvlText w:val=""/>
      <w:lvlJc w:val="left"/>
    </w:lvl>
    <w:lvl w:ilvl="4" w:tplc="9794AAD8">
      <w:numFmt w:val="decimal"/>
      <w:lvlText w:val=""/>
      <w:lvlJc w:val="left"/>
    </w:lvl>
    <w:lvl w:ilvl="5" w:tplc="9F1A4806">
      <w:numFmt w:val="decimal"/>
      <w:lvlText w:val=""/>
      <w:lvlJc w:val="left"/>
    </w:lvl>
    <w:lvl w:ilvl="6" w:tplc="72466D58">
      <w:numFmt w:val="decimal"/>
      <w:lvlText w:val=""/>
      <w:lvlJc w:val="left"/>
    </w:lvl>
    <w:lvl w:ilvl="7" w:tplc="55FC154C">
      <w:numFmt w:val="decimal"/>
      <w:lvlText w:val=""/>
      <w:lvlJc w:val="left"/>
    </w:lvl>
    <w:lvl w:ilvl="8" w:tplc="6866A064">
      <w:numFmt w:val="decimal"/>
      <w:lvlText w:val=""/>
      <w:lvlJc w:val="left"/>
    </w:lvl>
  </w:abstractNum>
  <w:abstractNum w:abstractNumId="1" w15:restartNumberingAfterBreak="0">
    <w:nsid w:val="46EE494C"/>
    <w:multiLevelType w:val="hybridMultilevel"/>
    <w:tmpl w:val="7534ECA0"/>
    <w:lvl w:ilvl="0" w:tplc="5304484A">
      <w:start w:val="1"/>
      <w:numFmt w:val="bullet"/>
      <w:lvlText w:val="●"/>
      <w:lvlJc w:val="left"/>
      <w:pPr>
        <w:ind w:left="720" w:hanging="360"/>
      </w:pPr>
    </w:lvl>
    <w:lvl w:ilvl="1" w:tplc="B680E47C">
      <w:start w:val="1"/>
      <w:numFmt w:val="bullet"/>
      <w:lvlText w:val="○"/>
      <w:lvlJc w:val="left"/>
      <w:pPr>
        <w:ind w:left="1440" w:hanging="360"/>
      </w:pPr>
    </w:lvl>
    <w:lvl w:ilvl="2" w:tplc="05E20FE4">
      <w:start w:val="1"/>
      <w:numFmt w:val="bullet"/>
      <w:lvlText w:val="■"/>
      <w:lvlJc w:val="left"/>
      <w:pPr>
        <w:ind w:left="2160" w:hanging="360"/>
      </w:pPr>
    </w:lvl>
    <w:lvl w:ilvl="3" w:tplc="08CCDD18">
      <w:start w:val="1"/>
      <w:numFmt w:val="bullet"/>
      <w:lvlText w:val="●"/>
      <w:lvlJc w:val="left"/>
      <w:pPr>
        <w:ind w:left="2880" w:hanging="360"/>
      </w:pPr>
    </w:lvl>
    <w:lvl w:ilvl="4" w:tplc="8B7A5838">
      <w:start w:val="1"/>
      <w:numFmt w:val="bullet"/>
      <w:lvlText w:val="○"/>
      <w:lvlJc w:val="left"/>
      <w:pPr>
        <w:ind w:left="3600" w:hanging="360"/>
      </w:pPr>
    </w:lvl>
    <w:lvl w:ilvl="5" w:tplc="E0362826">
      <w:start w:val="1"/>
      <w:numFmt w:val="bullet"/>
      <w:lvlText w:val="■"/>
      <w:lvlJc w:val="left"/>
      <w:pPr>
        <w:ind w:left="4320" w:hanging="360"/>
      </w:pPr>
    </w:lvl>
    <w:lvl w:ilvl="6" w:tplc="7D6E79E6">
      <w:start w:val="1"/>
      <w:numFmt w:val="bullet"/>
      <w:lvlText w:val="●"/>
      <w:lvlJc w:val="left"/>
      <w:pPr>
        <w:ind w:left="5040" w:hanging="360"/>
      </w:pPr>
    </w:lvl>
    <w:lvl w:ilvl="7" w:tplc="04F80786">
      <w:start w:val="1"/>
      <w:numFmt w:val="bullet"/>
      <w:lvlText w:val="●"/>
      <w:lvlJc w:val="left"/>
      <w:pPr>
        <w:ind w:left="5760" w:hanging="360"/>
      </w:pPr>
    </w:lvl>
    <w:lvl w:ilvl="8" w:tplc="11DC75A6">
      <w:start w:val="1"/>
      <w:numFmt w:val="bullet"/>
      <w:lvlText w:val="●"/>
      <w:lvlJc w:val="left"/>
      <w:pPr>
        <w:ind w:left="6480" w:hanging="360"/>
      </w:pPr>
    </w:lvl>
  </w:abstractNum>
  <w:abstractNum w:abstractNumId="2" w15:restartNumberingAfterBreak="0">
    <w:nsid w:val="471822DA"/>
    <w:multiLevelType w:val="hybridMultilevel"/>
    <w:tmpl w:val="76400BFE"/>
    <w:lvl w:ilvl="0" w:tplc="87BCC824">
      <w:start w:val="1"/>
      <w:numFmt w:val="bullet"/>
      <w:lvlText w:val="–"/>
      <w:lvlJc w:val="left"/>
      <w:pPr>
        <w:ind w:left="900" w:hanging="270"/>
      </w:pPr>
    </w:lvl>
    <w:lvl w:ilvl="1" w:tplc="C6EAAEFC">
      <w:numFmt w:val="decimal"/>
      <w:lvlText w:val=""/>
      <w:lvlJc w:val="left"/>
    </w:lvl>
    <w:lvl w:ilvl="2" w:tplc="AD507656">
      <w:numFmt w:val="decimal"/>
      <w:lvlText w:val=""/>
      <w:lvlJc w:val="left"/>
    </w:lvl>
    <w:lvl w:ilvl="3" w:tplc="37C4CAC6">
      <w:numFmt w:val="decimal"/>
      <w:lvlText w:val=""/>
      <w:lvlJc w:val="left"/>
    </w:lvl>
    <w:lvl w:ilvl="4" w:tplc="C98693BE">
      <w:numFmt w:val="decimal"/>
      <w:lvlText w:val=""/>
      <w:lvlJc w:val="left"/>
    </w:lvl>
    <w:lvl w:ilvl="5" w:tplc="4FD07514">
      <w:numFmt w:val="decimal"/>
      <w:lvlText w:val=""/>
      <w:lvlJc w:val="left"/>
    </w:lvl>
    <w:lvl w:ilvl="6" w:tplc="120219BA">
      <w:numFmt w:val="decimal"/>
      <w:lvlText w:val=""/>
      <w:lvlJc w:val="left"/>
    </w:lvl>
    <w:lvl w:ilvl="7" w:tplc="5C5A587C">
      <w:numFmt w:val="decimal"/>
      <w:lvlText w:val=""/>
      <w:lvlJc w:val="left"/>
    </w:lvl>
    <w:lvl w:ilvl="8" w:tplc="F9AE1F1A">
      <w:numFmt w:val="decimal"/>
      <w:lvlText w:val=""/>
      <w:lvlJc w:val="left"/>
    </w:lvl>
  </w:abstractNum>
  <w:abstractNum w:abstractNumId="3" w15:restartNumberingAfterBreak="0">
    <w:nsid w:val="6A7970F8"/>
    <w:multiLevelType w:val="hybridMultilevel"/>
    <w:tmpl w:val="37AC4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25832978">
    <w:abstractNumId w:val="1"/>
    <w:lvlOverride w:ilvl="0">
      <w:startOverride w:val="1"/>
    </w:lvlOverride>
  </w:num>
  <w:num w:numId="2" w16cid:durableId="2052799249">
    <w:abstractNumId w:val="0"/>
    <w:lvlOverride w:ilvl="0">
      <w:startOverride w:val="1"/>
    </w:lvlOverride>
  </w:num>
  <w:num w:numId="3" w16cid:durableId="1730028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225"/>
    <w:rsid w:val="001D5935"/>
    <w:rsid w:val="00464828"/>
    <w:rsid w:val="00614225"/>
    <w:rsid w:val="00A859CD"/>
    <w:rsid w:val="00B765A0"/>
    <w:rsid w:val="00CC77D7"/>
    <w:rsid w:val="00FE0F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9877"/>
  <w15:docId w15:val="{D7EED62B-78FA-40E3-8496-DBB8CC24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F3864"/>
      <w:sz w:val="28"/>
      <w:szCs w:val="28"/>
    </w:rPr>
  </w:style>
  <w:style w:type="paragraph" w:styleId="Heading2">
    <w:name w:val="heading 2"/>
    <w:uiPriority w:val="9"/>
    <w:semiHidden/>
    <w:unhideWhenUsed/>
    <w:qFormat/>
    <w:pPr>
      <w:spacing w:before="280" w:after="120"/>
      <w:outlineLvl w:val="1"/>
    </w:pPr>
    <w:rPr>
      <w:b/>
      <w:bCs/>
      <w:color w:val="1F3864"/>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qlsproctor.com.au/2024/04/duty-of-confidence-not-absolute/" TargetMode="External"/><Relationship Id="rId3" Type="http://schemas.openxmlformats.org/officeDocument/2006/relationships/settings" Target="settings.xml"/><Relationship Id="rId7" Type="http://schemas.openxmlformats.org/officeDocument/2006/relationships/hyperlink" Target="https://www.qls.com.au/content-collections/ethics/responding-to-threats-of-imminent-serious-physical-ha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4668</Words>
  <Characters>26935</Characters>
  <Application>Microsoft Office Word</Application>
  <DocSecurity>0</DocSecurity>
  <Lines>708</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Bowles</cp:lastModifiedBy>
  <cp:revision>2</cp:revision>
  <dcterms:created xsi:type="dcterms:W3CDTF">2026-06-10T06:19:00Z</dcterms:created>
  <dcterms:modified xsi:type="dcterms:W3CDTF">2026-06-10T06:19:00Z</dcterms:modified>
</cp:coreProperties>
</file>