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CE740" w14:textId="77777777" w:rsidR="000169A8" w:rsidRDefault="000169A8" w:rsidP="00257E78">
      <w:pPr>
        <w:pStyle w:val="Doctitle"/>
      </w:pPr>
      <w:r w:rsidRPr="00BF3CA9">
        <w:t xml:space="preserve">Privacy Compendium </w:t>
      </w:r>
    </w:p>
    <w:p w14:paraId="5A9BBDA5" w14:textId="3CA162B3" w:rsidR="000169A8" w:rsidRPr="00B27D0E" w:rsidRDefault="000169A8" w:rsidP="00B27D0E">
      <w:pPr>
        <w:pStyle w:val="Title"/>
        <w:rPr>
          <w:color w:val="FFFFFF" w:themeColor="background1"/>
        </w:rPr>
      </w:pPr>
      <w:r w:rsidRPr="00B27D0E">
        <w:rPr>
          <w:color w:val="FFFFFF" w:themeColor="background1"/>
        </w:rPr>
        <w:t>SME Firm</w:t>
      </w:r>
    </w:p>
    <w:p w14:paraId="16DC776B" w14:textId="77777777" w:rsidR="000169A8" w:rsidRPr="000169A8" w:rsidRDefault="000169A8" w:rsidP="000169A8">
      <w:pPr>
        <w:sectPr w:rsidR="000169A8" w:rsidRPr="000169A8" w:rsidSect="00257E78">
          <w:footerReference w:type="default" r:id="rId11"/>
          <w:headerReference w:type="first" r:id="rId12"/>
          <w:pgSz w:w="11906" w:h="16838"/>
          <w:pgMar w:top="5104" w:right="1440" w:bottom="1440" w:left="1440" w:header="709" w:footer="709" w:gutter="0"/>
          <w:pgNumType w:start="0"/>
          <w:cols w:space="708"/>
          <w:titlePg/>
          <w:docGrid w:linePitch="360"/>
        </w:sectPr>
      </w:pPr>
    </w:p>
    <w:p w14:paraId="4C8031E4" w14:textId="77777777" w:rsidR="005776EE" w:rsidRPr="00950B7F" w:rsidRDefault="005776EE" w:rsidP="00A30EAA">
      <w:pPr>
        <w:pStyle w:val="Body"/>
      </w:pPr>
      <w:bookmarkStart w:id="0" w:name="Section_2"/>
      <w:bookmarkStart w:id="1" w:name="_Toc220069824"/>
      <w:bookmarkStart w:id="2" w:name="_Toc220655044"/>
      <w:bookmarkEnd w:id="0"/>
      <w:r w:rsidRPr="00950B7F">
        <w:lastRenderedPageBreak/>
        <w:t>Table of Contents</w:t>
      </w:r>
      <w:bookmarkEnd w:id="1"/>
      <w:bookmarkEnd w:id="2"/>
    </w:p>
    <w:p w14:paraId="1020DE47" w14:textId="0A2F6DAD" w:rsidR="009F778D" w:rsidRDefault="00626F93">
      <w:pPr>
        <w:pStyle w:val="TOC1"/>
        <w:tabs>
          <w:tab w:val="right" w:leader="dot" w:pos="9016"/>
        </w:tabs>
        <w:rPr>
          <w:rFonts w:asciiTheme="minorHAnsi" w:eastAsiaTheme="minorEastAsia" w:hAnsiTheme="minorHAnsi" w:cstheme="minorBidi"/>
          <w:b w:val="0"/>
          <w:bCs w:val="0"/>
          <w:caps w:val="0"/>
          <w:noProof/>
          <w:color w:val="auto"/>
          <w:kern w:val="2"/>
          <w14:ligatures w14:val="standardContextual"/>
        </w:rPr>
      </w:pPr>
      <w:r>
        <w:rPr>
          <w:rFonts w:asciiTheme="majorHAnsi" w:hAnsiTheme="majorHAnsi"/>
          <w:b w:val="0"/>
          <w:caps w:val="0"/>
          <w:color w:val="000000" w:themeColor="text1"/>
        </w:rPr>
        <w:fldChar w:fldCharType="begin"/>
      </w:r>
      <w:r>
        <w:rPr>
          <w:rFonts w:asciiTheme="majorHAnsi" w:hAnsiTheme="majorHAnsi"/>
          <w:b w:val="0"/>
          <w:caps w:val="0"/>
          <w:color w:val="000000" w:themeColor="text1"/>
        </w:rPr>
        <w:instrText xml:space="preserve"> TOC \h \z \t "Heading 1,5,Heading 2,6,Numbered Heading 2,4,Header,1,Numbered Heading 1,3,Header 2,2" </w:instrText>
      </w:r>
      <w:r>
        <w:rPr>
          <w:rFonts w:asciiTheme="majorHAnsi" w:hAnsiTheme="majorHAnsi"/>
          <w:b w:val="0"/>
          <w:caps w:val="0"/>
          <w:color w:val="000000" w:themeColor="text1"/>
        </w:rPr>
        <w:fldChar w:fldCharType="separate"/>
      </w:r>
      <w:hyperlink w:anchor="_Toc231895128" w:history="1">
        <w:r w:rsidR="009F778D" w:rsidRPr="0095399A">
          <w:rPr>
            <w:rStyle w:val="Hyperlink"/>
            <w:noProof/>
          </w:rPr>
          <w:t>PART A</w:t>
        </w:r>
        <w:r w:rsidR="009F778D">
          <w:rPr>
            <w:noProof/>
            <w:webHidden/>
          </w:rPr>
          <w:tab/>
        </w:r>
        <w:r w:rsidR="009F778D">
          <w:rPr>
            <w:noProof/>
            <w:webHidden/>
          </w:rPr>
          <w:fldChar w:fldCharType="begin"/>
        </w:r>
        <w:r w:rsidR="009F778D">
          <w:rPr>
            <w:noProof/>
            <w:webHidden/>
          </w:rPr>
          <w:instrText xml:space="preserve"> PAGEREF _Toc231895128 \h </w:instrText>
        </w:r>
        <w:r w:rsidR="009F778D">
          <w:rPr>
            <w:noProof/>
            <w:webHidden/>
          </w:rPr>
        </w:r>
        <w:r w:rsidR="009F778D">
          <w:rPr>
            <w:noProof/>
            <w:webHidden/>
          </w:rPr>
          <w:fldChar w:fldCharType="separate"/>
        </w:r>
        <w:r w:rsidR="00F97260">
          <w:rPr>
            <w:noProof/>
            <w:webHidden/>
          </w:rPr>
          <w:t>5</w:t>
        </w:r>
        <w:r w:rsidR="009F778D">
          <w:rPr>
            <w:noProof/>
            <w:webHidden/>
          </w:rPr>
          <w:fldChar w:fldCharType="end"/>
        </w:r>
      </w:hyperlink>
    </w:p>
    <w:p w14:paraId="57FC091B" w14:textId="0C31D8D3" w:rsidR="009F778D" w:rsidRDefault="009F778D">
      <w:pPr>
        <w:pStyle w:val="TOC2"/>
        <w:tabs>
          <w:tab w:val="right" w:leader="dot" w:pos="9016"/>
        </w:tabs>
        <w:rPr>
          <w:rFonts w:asciiTheme="minorHAnsi" w:eastAsiaTheme="minorEastAsia" w:hAnsiTheme="minorHAnsi" w:cstheme="minorBidi"/>
          <w:bCs w:val="0"/>
          <w:noProof/>
          <w:color w:val="auto"/>
          <w:kern w:val="2"/>
          <w:sz w:val="24"/>
          <w:szCs w:val="24"/>
          <w14:ligatures w14:val="standardContextual"/>
        </w:rPr>
      </w:pPr>
      <w:hyperlink w:anchor="_Toc231895129" w:history="1">
        <w:r w:rsidRPr="0095399A">
          <w:rPr>
            <w:rStyle w:val="Hyperlink"/>
            <w:noProof/>
          </w:rPr>
          <w:t>INTRODUCTION AND REGULATORY FRAMEWORK</w:t>
        </w:r>
        <w:r>
          <w:rPr>
            <w:noProof/>
            <w:webHidden/>
          </w:rPr>
          <w:tab/>
        </w:r>
        <w:r>
          <w:rPr>
            <w:noProof/>
            <w:webHidden/>
          </w:rPr>
          <w:fldChar w:fldCharType="begin"/>
        </w:r>
        <w:r>
          <w:rPr>
            <w:noProof/>
            <w:webHidden/>
          </w:rPr>
          <w:instrText xml:space="preserve"> PAGEREF _Toc231895129 \h </w:instrText>
        </w:r>
        <w:r>
          <w:rPr>
            <w:noProof/>
            <w:webHidden/>
          </w:rPr>
        </w:r>
        <w:r>
          <w:rPr>
            <w:noProof/>
            <w:webHidden/>
          </w:rPr>
          <w:fldChar w:fldCharType="separate"/>
        </w:r>
        <w:r w:rsidR="00F97260">
          <w:rPr>
            <w:noProof/>
            <w:webHidden/>
          </w:rPr>
          <w:t>5</w:t>
        </w:r>
        <w:r>
          <w:rPr>
            <w:noProof/>
            <w:webHidden/>
          </w:rPr>
          <w:fldChar w:fldCharType="end"/>
        </w:r>
      </w:hyperlink>
    </w:p>
    <w:p w14:paraId="7AF63D4D" w14:textId="1653E144" w:rsidR="009F778D" w:rsidRDefault="009F778D">
      <w:pPr>
        <w:pStyle w:val="TOC3"/>
        <w:tabs>
          <w:tab w:val="left" w:pos="1599"/>
        </w:tabs>
        <w:rPr>
          <w:rFonts w:asciiTheme="minorHAnsi" w:eastAsiaTheme="minorEastAsia" w:hAnsiTheme="minorHAnsi" w:cstheme="minorBidi"/>
          <w:noProof/>
          <w:color w:val="auto"/>
          <w:kern w:val="2"/>
          <w:sz w:val="24"/>
          <w:szCs w:val="24"/>
          <w14:ligatures w14:val="standardContextual"/>
        </w:rPr>
      </w:pPr>
      <w:hyperlink w:anchor="_Toc231895130" w:history="1">
        <w:r w:rsidRPr="0095399A">
          <w:rPr>
            <w:rStyle w:val="Hyperlink"/>
            <w:noProof/>
          </w:rPr>
          <w:t>Chapter 1:</w:t>
        </w:r>
        <w:r>
          <w:rPr>
            <w:rFonts w:asciiTheme="minorHAnsi" w:eastAsiaTheme="minorEastAsia" w:hAnsiTheme="minorHAnsi" w:cstheme="minorBidi"/>
            <w:noProof/>
            <w:color w:val="auto"/>
            <w:kern w:val="2"/>
            <w:sz w:val="24"/>
            <w:szCs w:val="24"/>
            <w14:ligatures w14:val="standardContextual"/>
          </w:rPr>
          <w:tab/>
        </w:r>
        <w:r w:rsidRPr="0095399A">
          <w:rPr>
            <w:rStyle w:val="Hyperlink"/>
            <w:noProof/>
          </w:rPr>
          <w:t>Purpose and Scope of This Manual</w:t>
        </w:r>
        <w:r>
          <w:rPr>
            <w:noProof/>
            <w:webHidden/>
          </w:rPr>
          <w:tab/>
        </w:r>
        <w:r>
          <w:rPr>
            <w:noProof/>
            <w:webHidden/>
          </w:rPr>
          <w:fldChar w:fldCharType="begin"/>
        </w:r>
        <w:r>
          <w:rPr>
            <w:noProof/>
            <w:webHidden/>
          </w:rPr>
          <w:instrText xml:space="preserve"> PAGEREF _Toc231895130 \h </w:instrText>
        </w:r>
        <w:r>
          <w:rPr>
            <w:noProof/>
            <w:webHidden/>
          </w:rPr>
        </w:r>
        <w:r>
          <w:rPr>
            <w:noProof/>
            <w:webHidden/>
          </w:rPr>
          <w:fldChar w:fldCharType="separate"/>
        </w:r>
        <w:r w:rsidR="00F97260">
          <w:rPr>
            <w:noProof/>
            <w:webHidden/>
          </w:rPr>
          <w:t>5</w:t>
        </w:r>
        <w:r>
          <w:rPr>
            <w:noProof/>
            <w:webHidden/>
          </w:rPr>
          <w:fldChar w:fldCharType="end"/>
        </w:r>
      </w:hyperlink>
    </w:p>
    <w:p w14:paraId="539AB3C6" w14:textId="2E239D24"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31" w:history="1">
        <w:r w:rsidRPr="0095399A">
          <w:rPr>
            <w:rStyle w:val="Hyperlink"/>
            <w:noProof/>
          </w:rPr>
          <w:t>1.1.</w:t>
        </w:r>
        <w:r>
          <w:rPr>
            <w:rFonts w:asciiTheme="minorHAnsi" w:eastAsiaTheme="minorEastAsia" w:hAnsiTheme="minorHAnsi" w:cstheme="minorBidi"/>
            <w:noProof/>
            <w:kern w:val="2"/>
            <w:sz w:val="24"/>
            <w:szCs w:val="24"/>
            <w14:ligatures w14:val="standardContextual"/>
          </w:rPr>
          <w:tab/>
        </w:r>
        <w:r w:rsidRPr="0095399A">
          <w:rPr>
            <w:rStyle w:val="Hyperlink"/>
            <w:noProof/>
          </w:rPr>
          <w:t>Introduction</w:t>
        </w:r>
        <w:r>
          <w:rPr>
            <w:noProof/>
            <w:webHidden/>
          </w:rPr>
          <w:tab/>
        </w:r>
        <w:r>
          <w:rPr>
            <w:noProof/>
            <w:webHidden/>
          </w:rPr>
          <w:fldChar w:fldCharType="begin"/>
        </w:r>
        <w:r>
          <w:rPr>
            <w:noProof/>
            <w:webHidden/>
          </w:rPr>
          <w:instrText xml:space="preserve"> PAGEREF _Toc231895131 \h </w:instrText>
        </w:r>
        <w:r>
          <w:rPr>
            <w:noProof/>
            <w:webHidden/>
          </w:rPr>
        </w:r>
        <w:r>
          <w:rPr>
            <w:noProof/>
            <w:webHidden/>
          </w:rPr>
          <w:fldChar w:fldCharType="separate"/>
        </w:r>
        <w:r w:rsidR="00F97260">
          <w:rPr>
            <w:noProof/>
            <w:webHidden/>
          </w:rPr>
          <w:t>5</w:t>
        </w:r>
        <w:r>
          <w:rPr>
            <w:noProof/>
            <w:webHidden/>
          </w:rPr>
          <w:fldChar w:fldCharType="end"/>
        </w:r>
      </w:hyperlink>
    </w:p>
    <w:p w14:paraId="70EF960F" w14:textId="4B153460"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32" w:history="1">
        <w:r w:rsidRPr="0095399A">
          <w:rPr>
            <w:rStyle w:val="Hyperlink"/>
            <w:noProof/>
          </w:rPr>
          <w:t>1.2.</w:t>
        </w:r>
        <w:r>
          <w:rPr>
            <w:rFonts w:asciiTheme="minorHAnsi" w:eastAsiaTheme="minorEastAsia" w:hAnsiTheme="minorHAnsi" w:cstheme="minorBidi"/>
            <w:noProof/>
            <w:kern w:val="2"/>
            <w:sz w:val="24"/>
            <w:szCs w:val="24"/>
            <w14:ligatures w14:val="standardContextual"/>
          </w:rPr>
          <w:tab/>
        </w:r>
        <w:r w:rsidRPr="0095399A">
          <w:rPr>
            <w:rStyle w:val="Hyperlink"/>
            <w:noProof/>
          </w:rPr>
          <w:t>How to Use This Manual</w:t>
        </w:r>
        <w:r>
          <w:rPr>
            <w:noProof/>
            <w:webHidden/>
          </w:rPr>
          <w:tab/>
        </w:r>
        <w:r>
          <w:rPr>
            <w:noProof/>
            <w:webHidden/>
          </w:rPr>
          <w:fldChar w:fldCharType="begin"/>
        </w:r>
        <w:r>
          <w:rPr>
            <w:noProof/>
            <w:webHidden/>
          </w:rPr>
          <w:instrText xml:space="preserve"> PAGEREF _Toc231895132 \h </w:instrText>
        </w:r>
        <w:r>
          <w:rPr>
            <w:noProof/>
            <w:webHidden/>
          </w:rPr>
        </w:r>
        <w:r>
          <w:rPr>
            <w:noProof/>
            <w:webHidden/>
          </w:rPr>
          <w:fldChar w:fldCharType="separate"/>
        </w:r>
        <w:r w:rsidR="00F97260">
          <w:rPr>
            <w:noProof/>
            <w:webHidden/>
          </w:rPr>
          <w:t>6</w:t>
        </w:r>
        <w:r>
          <w:rPr>
            <w:noProof/>
            <w:webHidden/>
          </w:rPr>
          <w:fldChar w:fldCharType="end"/>
        </w:r>
      </w:hyperlink>
    </w:p>
    <w:p w14:paraId="325CA334" w14:textId="6518E87F"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33" w:history="1">
        <w:r w:rsidRPr="0095399A">
          <w:rPr>
            <w:rStyle w:val="Hyperlink"/>
            <w:noProof/>
          </w:rPr>
          <w:t>1.3.</w:t>
        </w:r>
        <w:r>
          <w:rPr>
            <w:rFonts w:asciiTheme="minorHAnsi" w:eastAsiaTheme="minorEastAsia" w:hAnsiTheme="minorHAnsi" w:cstheme="minorBidi"/>
            <w:noProof/>
            <w:kern w:val="2"/>
            <w:sz w:val="24"/>
            <w:szCs w:val="24"/>
            <w14:ligatures w14:val="standardContextual"/>
          </w:rPr>
          <w:tab/>
        </w:r>
        <w:r w:rsidRPr="0095399A">
          <w:rPr>
            <w:rStyle w:val="Hyperlink"/>
            <w:noProof/>
          </w:rPr>
          <w:t>How This Manual is Organised</w:t>
        </w:r>
        <w:r>
          <w:rPr>
            <w:noProof/>
            <w:webHidden/>
          </w:rPr>
          <w:tab/>
        </w:r>
        <w:r>
          <w:rPr>
            <w:noProof/>
            <w:webHidden/>
          </w:rPr>
          <w:fldChar w:fldCharType="begin"/>
        </w:r>
        <w:r>
          <w:rPr>
            <w:noProof/>
            <w:webHidden/>
          </w:rPr>
          <w:instrText xml:space="preserve"> PAGEREF _Toc231895133 \h </w:instrText>
        </w:r>
        <w:r>
          <w:rPr>
            <w:noProof/>
            <w:webHidden/>
          </w:rPr>
        </w:r>
        <w:r>
          <w:rPr>
            <w:noProof/>
            <w:webHidden/>
          </w:rPr>
          <w:fldChar w:fldCharType="separate"/>
        </w:r>
        <w:r w:rsidR="00F97260">
          <w:rPr>
            <w:noProof/>
            <w:webHidden/>
          </w:rPr>
          <w:t>7</w:t>
        </w:r>
        <w:r>
          <w:rPr>
            <w:noProof/>
            <w:webHidden/>
          </w:rPr>
          <w:fldChar w:fldCharType="end"/>
        </w:r>
      </w:hyperlink>
    </w:p>
    <w:p w14:paraId="26EDCF25" w14:textId="105BC6F5"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34" w:history="1">
        <w:r w:rsidRPr="0095399A">
          <w:rPr>
            <w:rStyle w:val="Hyperlink"/>
            <w:noProof/>
          </w:rPr>
          <w:t>1.4.</w:t>
        </w:r>
        <w:r>
          <w:rPr>
            <w:rFonts w:asciiTheme="minorHAnsi" w:eastAsiaTheme="minorEastAsia" w:hAnsiTheme="minorHAnsi" w:cstheme="minorBidi"/>
            <w:noProof/>
            <w:kern w:val="2"/>
            <w:sz w:val="24"/>
            <w:szCs w:val="24"/>
            <w14:ligatures w14:val="standardContextual"/>
          </w:rPr>
          <w:tab/>
        </w:r>
        <w:r w:rsidRPr="0095399A">
          <w:rPr>
            <w:rStyle w:val="Hyperlink"/>
            <w:noProof/>
          </w:rPr>
          <w:t>The Compliance Toolkit — Documents at a glance</w:t>
        </w:r>
        <w:r>
          <w:rPr>
            <w:noProof/>
            <w:webHidden/>
          </w:rPr>
          <w:tab/>
        </w:r>
        <w:r>
          <w:rPr>
            <w:noProof/>
            <w:webHidden/>
          </w:rPr>
          <w:fldChar w:fldCharType="begin"/>
        </w:r>
        <w:r>
          <w:rPr>
            <w:noProof/>
            <w:webHidden/>
          </w:rPr>
          <w:instrText xml:space="preserve"> PAGEREF _Toc231895134 \h </w:instrText>
        </w:r>
        <w:r>
          <w:rPr>
            <w:noProof/>
            <w:webHidden/>
          </w:rPr>
        </w:r>
        <w:r>
          <w:rPr>
            <w:noProof/>
            <w:webHidden/>
          </w:rPr>
          <w:fldChar w:fldCharType="separate"/>
        </w:r>
        <w:r w:rsidR="00F97260">
          <w:rPr>
            <w:noProof/>
            <w:webHidden/>
          </w:rPr>
          <w:t>8</w:t>
        </w:r>
        <w:r>
          <w:rPr>
            <w:noProof/>
            <w:webHidden/>
          </w:rPr>
          <w:fldChar w:fldCharType="end"/>
        </w:r>
      </w:hyperlink>
    </w:p>
    <w:p w14:paraId="0C307C56" w14:textId="24E8B9E9"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35" w:history="1">
        <w:r w:rsidRPr="0095399A">
          <w:rPr>
            <w:rStyle w:val="Hyperlink"/>
            <w:noProof/>
          </w:rPr>
          <w:t>1.5.</w:t>
        </w:r>
        <w:r>
          <w:rPr>
            <w:rFonts w:asciiTheme="minorHAnsi" w:eastAsiaTheme="minorEastAsia" w:hAnsiTheme="minorHAnsi" w:cstheme="minorBidi"/>
            <w:noProof/>
            <w:kern w:val="2"/>
            <w:sz w:val="24"/>
            <w:szCs w:val="24"/>
            <w14:ligatures w14:val="standardContextual"/>
          </w:rPr>
          <w:tab/>
        </w:r>
        <w:r w:rsidRPr="0095399A">
          <w:rPr>
            <w:rStyle w:val="Hyperlink"/>
            <w:noProof/>
          </w:rPr>
          <w:t>OAIC Guidance Informing This Manual</w:t>
        </w:r>
        <w:r>
          <w:rPr>
            <w:noProof/>
            <w:webHidden/>
          </w:rPr>
          <w:tab/>
        </w:r>
        <w:r>
          <w:rPr>
            <w:noProof/>
            <w:webHidden/>
          </w:rPr>
          <w:fldChar w:fldCharType="begin"/>
        </w:r>
        <w:r>
          <w:rPr>
            <w:noProof/>
            <w:webHidden/>
          </w:rPr>
          <w:instrText xml:space="preserve"> PAGEREF _Toc231895135 \h </w:instrText>
        </w:r>
        <w:r>
          <w:rPr>
            <w:noProof/>
            <w:webHidden/>
          </w:rPr>
        </w:r>
        <w:r>
          <w:rPr>
            <w:noProof/>
            <w:webHidden/>
          </w:rPr>
          <w:fldChar w:fldCharType="separate"/>
        </w:r>
        <w:r w:rsidR="00F97260">
          <w:rPr>
            <w:noProof/>
            <w:webHidden/>
          </w:rPr>
          <w:t>9</w:t>
        </w:r>
        <w:r>
          <w:rPr>
            <w:noProof/>
            <w:webHidden/>
          </w:rPr>
          <w:fldChar w:fldCharType="end"/>
        </w:r>
      </w:hyperlink>
    </w:p>
    <w:p w14:paraId="3B1EA411" w14:textId="60B84B91"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36" w:history="1">
        <w:r w:rsidRPr="0095399A">
          <w:rPr>
            <w:rStyle w:val="Hyperlink"/>
            <w:noProof/>
          </w:rPr>
          <w:t>1.6.</w:t>
        </w:r>
        <w:r>
          <w:rPr>
            <w:rFonts w:asciiTheme="minorHAnsi" w:eastAsiaTheme="minorEastAsia" w:hAnsiTheme="minorHAnsi" w:cstheme="minorBidi"/>
            <w:noProof/>
            <w:kern w:val="2"/>
            <w:sz w:val="24"/>
            <w:szCs w:val="24"/>
            <w14:ligatures w14:val="standardContextual"/>
          </w:rPr>
          <w:tab/>
        </w:r>
        <w:r w:rsidRPr="0095399A">
          <w:rPr>
            <w:rStyle w:val="Hyperlink"/>
            <w:noProof/>
          </w:rPr>
          <w:t>Currency of information.</w:t>
        </w:r>
        <w:r>
          <w:rPr>
            <w:noProof/>
            <w:webHidden/>
          </w:rPr>
          <w:tab/>
        </w:r>
        <w:r>
          <w:rPr>
            <w:noProof/>
            <w:webHidden/>
          </w:rPr>
          <w:fldChar w:fldCharType="begin"/>
        </w:r>
        <w:r>
          <w:rPr>
            <w:noProof/>
            <w:webHidden/>
          </w:rPr>
          <w:instrText xml:space="preserve"> PAGEREF _Toc231895136 \h </w:instrText>
        </w:r>
        <w:r>
          <w:rPr>
            <w:noProof/>
            <w:webHidden/>
          </w:rPr>
        </w:r>
        <w:r>
          <w:rPr>
            <w:noProof/>
            <w:webHidden/>
          </w:rPr>
          <w:fldChar w:fldCharType="separate"/>
        </w:r>
        <w:r w:rsidR="00F97260">
          <w:rPr>
            <w:noProof/>
            <w:webHidden/>
          </w:rPr>
          <w:t>9</w:t>
        </w:r>
        <w:r>
          <w:rPr>
            <w:noProof/>
            <w:webHidden/>
          </w:rPr>
          <w:fldChar w:fldCharType="end"/>
        </w:r>
      </w:hyperlink>
    </w:p>
    <w:p w14:paraId="2188FC31" w14:textId="11F31000" w:rsidR="009F778D" w:rsidRDefault="009F778D">
      <w:pPr>
        <w:pStyle w:val="TOC3"/>
        <w:tabs>
          <w:tab w:val="left" w:pos="1599"/>
        </w:tabs>
        <w:rPr>
          <w:rFonts w:asciiTheme="minorHAnsi" w:eastAsiaTheme="minorEastAsia" w:hAnsiTheme="minorHAnsi" w:cstheme="minorBidi"/>
          <w:noProof/>
          <w:color w:val="auto"/>
          <w:kern w:val="2"/>
          <w:sz w:val="24"/>
          <w:szCs w:val="24"/>
          <w14:ligatures w14:val="standardContextual"/>
        </w:rPr>
      </w:pPr>
      <w:hyperlink w:anchor="_Toc231895137" w:history="1">
        <w:r w:rsidRPr="0095399A">
          <w:rPr>
            <w:rStyle w:val="Hyperlink"/>
            <w:noProof/>
          </w:rPr>
          <w:t>Chapter 2:</w:t>
        </w:r>
        <w:r>
          <w:rPr>
            <w:rFonts w:asciiTheme="minorHAnsi" w:eastAsiaTheme="minorEastAsia" w:hAnsiTheme="minorHAnsi" w:cstheme="minorBidi"/>
            <w:noProof/>
            <w:color w:val="auto"/>
            <w:kern w:val="2"/>
            <w:sz w:val="24"/>
            <w:szCs w:val="24"/>
            <w14:ligatures w14:val="standardContextual"/>
          </w:rPr>
          <w:tab/>
        </w:r>
        <w:r w:rsidRPr="0095399A">
          <w:rPr>
            <w:rStyle w:val="Hyperlink"/>
            <w:noProof/>
          </w:rPr>
          <w:t>Privacy act changes in 2026</w:t>
        </w:r>
        <w:r>
          <w:rPr>
            <w:noProof/>
            <w:webHidden/>
          </w:rPr>
          <w:tab/>
        </w:r>
        <w:r>
          <w:rPr>
            <w:noProof/>
            <w:webHidden/>
          </w:rPr>
          <w:fldChar w:fldCharType="begin"/>
        </w:r>
        <w:r>
          <w:rPr>
            <w:noProof/>
            <w:webHidden/>
          </w:rPr>
          <w:instrText xml:space="preserve"> PAGEREF _Toc231895137 \h </w:instrText>
        </w:r>
        <w:r>
          <w:rPr>
            <w:noProof/>
            <w:webHidden/>
          </w:rPr>
        </w:r>
        <w:r>
          <w:rPr>
            <w:noProof/>
            <w:webHidden/>
          </w:rPr>
          <w:fldChar w:fldCharType="separate"/>
        </w:r>
        <w:r w:rsidR="00F97260">
          <w:rPr>
            <w:noProof/>
            <w:webHidden/>
          </w:rPr>
          <w:t>10</w:t>
        </w:r>
        <w:r>
          <w:rPr>
            <w:noProof/>
            <w:webHidden/>
          </w:rPr>
          <w:fldChar w:fldCharType="end"/>
        </w:r>
      </w:hyperlink>
    </w:p>
    <w:p w14:paraId="1F3F9960" w14:textId="4F65496B"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38" w:history="1">
        <w:r w:rsidRPr="0095399A">
          <w:rPr>
            <w:rStyle w:val="Hyperlink"/>
            <w:noProof/>
          </w:rPr>
          <w:t>2.1.</w:t>
        </w:r>
        <w:r>
          <w:rPr>
            <w:rFonts w:asciiTheme="minorHAnsi" w:eastAsiaTheme="minorEastAsia" w:hAnsiTheme="minorHAnsi" w:cstheme="minorBidi"/>
            <w:noProof/>
            <w:kern w:val="2"/>
            <w:sz w:val="24"/>
            <w:szCs w:val="24"/>
            <w14:ligatures w14:val="standardContextual"/>
          </w:rPr>
          <w:tab/>
        </w:r>
        <w:r w:rsidRPr="0095399A">
          <w:rPr>
            <w:rStyle w:val="Hyperlink"/>
            <w:noProof/>
          </w:rPr>
          <w:t>The AML/CTF &amp; Privacy Act interaction.</w:t>
        </w:r>
        <w:r>
          <w:rPr>
            <w:noProof/>
            <w:webHidden/>
          </w:rPr>
          <w:tab/>
        </w:r>
        <w:r>
          <w:rPr>
            <w:noProof/>
            <w:webHidden/>
          </w:rPr>
          <w:fldChar w:fldCharType="begin"/>
        </w:r>
        <w:r>
          <w:rPr>
            <w:noProof/>
            <w:webHidden/>
          </w:rPr>
          <w:instrText xml:space="preserve"> PAGEREF _Toc231895138 \h </w:instrText>
        </w:r>
        <w:r>
          <w:rPr>
            <w:noProof/>
            <w:webHidden/>
          </w:rPr>
        </w:r>
        <w:r>
          <w:rPr>
            <w:noProof/>
            <w:webHidden/>
          </w:rPr>
          <w:fldChar w:fldCharType="separate"/>
        </w:r>
        <w:r w:rsidR="00F97260">
          <w:rPr>
            <w:noProof/>
            <w:webHidden/>
          </w:rPr>
          <w:t>10</w:t>
        </w:r>
        <w:r>
          <w:rPr>
            <w:noProof/>
            <w:webHidden/>
          </w:rPr>
          <w:fldChar w:fldCharType="end"/>
        </w:r>
      </w:hyperlink>
    </w:p>
    <w:p w14:paraId="65EBCCD7" w14:textId="5349FB07"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39" w:history="1">
        <w:r w:rsidRPr="0095399A">
          <w:rPr>
            <w:rStyle w:val="Hyperlink"/>
            <w:noProof/>
          </w:rPr>
          <w:t>2.2.</w:t>
        </w:r>
        <w:r>
          <w:rPr>
            <w:rFonts w:asciiTheme="minorHAnsi" w:eastAsiaTheme="minorEastAsia" w:hAnsiTheme="minorHAnsi" w:cstheme="minorBidi"/>
            <w:noProof/>
            <w:kern w:val="2"/>
            <w:sz w:val="24"/>
            <w:szCs w:val="24"/>
            <w14:ligatures w14:val="standardContextual"/>
          </w:rPr>
          <w:tab/>
        </w:r>
        <w:r w:rsidRPr="0095399A">
          <w:rPr>
            <w:rStyle w:val="Hyperlink"/>
            <w:noProof/>
          </w:rPr>
          <w:t>Key Dates and Timeline</w:t>
        </w:r>
        <w:r>
          <w:rPr>
            <w:noProof/>
            <w:webHidden/>
          </w:rPr>
          <w:tab/>
        </w:r>
        <w:r>
          <w:rPr>
            <w:noProof/>
            <w:webHidden/>
          </w:rPr>
          <w:fldChar w:fldCharType="begin"/>
        </w:r>
        <w:r>
          <w:rPr>
            <w:noProof/>
            <w:webHidden/>
          </w:rPr>
          <w:instrText xml:space="preserve"> PAGEREF _Toc231895139 \h </w:instrText>
        </w:r>
        <w:r>
          <w:rPr>
            <w:noProof/>
            <w:webHidden/>
          </w:rPr>
        </w:r>
        <w:r>
          <w:rPr>
            <w:noProof/>
            <w:webHidden/>
          </w:rPr>
          <w:fldChar w:fldCharType="separate"/>
        </w:r>
        <w:r w:rsidR="00F97260">
          <w:rPr>
            <w:noProof/>
            <w:webHidden/>
          </w:rPr>
          <w:t>11</w:t>
        </w:r>
        <w:r>
          <w:rPr>
            <w:noProof/>
            <w:webHidden/>
          </w:rPr>
          <w:fldChar w:fldCharType="end"/>
        </w:r>
      </w:hyperlink>
    </w:p>
    <w:p w14:paraId="221E5390" w14:textId="4AD5FE10"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40" w:history="1">
        <w:r w:rsidRPr="0095399A">
          <w:rPr>
            <w:rStyle w:val="Hyperlink"/>
            <w:noProof/>
          </w:rPr>
          <w:t>2.3.</w:t>
        </w:r>
        <w:r>
          <w:rPr>
            <w:rFonts w:asciiTheme="minorHAnsi" w:eastAsiaTheme="minorEastAsia" w:hAnsiTheme="minorHAnsi" w:cstheme="minorBidi"/>
            <w:noProof/>
            <w:kern w:val="2"/>
            <w:sz w:val="24"/>
            <w:szCs w:val="24"/>
            <w14:ligatures w14:val="standardContextual"/>
          </w:rPr>
          <w:tab/>
        </w:r>
        <w:r w:rsidRPr="0095399A">
          <w:rPr>
            <w:rStyle w:val="Hyperlink"/>
            <w:noProof/>
          </w:rPr>
          <w:t>What are designated services?</w:t>
        </w:r>
        <w:r>
          <w:rPr>
            <w:noProof/>
            <w:webHidden/>
          </w:rPr>
          <w:tab/>
        </w:r>
        <w:r>
          <w:rPr>
            <w:noProof/>
            <w:webHidden/>
          </w:rPr>
          <w:fldChar w:fldCharType="begin"/>
        </w:r>
        <w:r>
          <w:rPr>
            <w:noProof/>
            <w:webHidden/>
          </w:rPr>
          <w:instrText xml:space="preserve"> PAGEREF _Toc231895140 \h </w:instrText>
        </w:r>
        <w:r>
          <w:rPr>
            <w:noProof/>
            <w:webHidden/>
          </w:rPr>
        </w:r>
        <w:r>
          <w:rPr>
            <w:noProof/>
            <w:webHidden/>
          </w:rPr>
          <w:fldChar w:fldCharType="separate"/>
        </w:r>
        <w:r w:rsidR="00F97260">
          <w:rPr>
            <w:noProof/>
            <w:webHidden/>
          </w:rPr>
          <w:t>11</w:t>
        </w:r>
        <w:r>
          <w:rPr>
            <w:noProof/>
            <w:webHidden/>
          </w:rPr>
          <w:fldChar w:fldCharType="end"/>
        </w:r>
      </w:hyperlink>
    </w:p>
    <w:p w14:paraId="00786DAB" w14:textId="730FEF49"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41" w:history="1">
        <w:r w:rsidRPr="0095399A">
          <w:rPr>
            <w:rStyle w:val="Hyperlink"/>
            <w:noProof/>
          </w:rPr>
          <w:t>2.4.</w:t>
        </w:r>
        <w:r>
          <w:rPr>
            <w:rFonts w:asciiTheme="minorHAnsi" w:eastAsiaTheme="minorEastAsia" w:hAnsiTheme="minorHAnsi" w:cstheme="minorBidi"/>
            <w:noProof/>
            <w:kern w:val="2"/>
            <w:sz w:val="24"/>
            <w:szCs w:val="24"/>
            <w14:ligatures w14:val="standardContextual"/>
          </w:rPr>
          <w:tab/>
        </w:r>
        <w:r w:rsidRPr="0095399A">
          <w:rPr>
            <w:rStyle w:val="Hyperlink"/>
            <w:noProof/>
          </w:rPr>
          <w:t>Consequences of Non-Compliance</w:t>
        </w:r>
        <w:r>
          <w:rPr>
            <w:noProof/>
            <w:webHidden/>
          </w:rPr>
          <w:tab/>
        </w:r>
        <w:r>
          <w:rPr>
            <w:noProof/>
            <w:webHidden/>
          </w:rPr>
          <w:fldChar w:fldCharType="begin"/>
        </w:r>
        <w:r>
          <w:rPr>
            <w:noProof/>
            <w:webHidden/>
          </w:rPr>
          <w:instrText xml:space="preserve"> PAGEREF _Toc231895141 \h </w:instrText>
        </w:r>
        <w:r>
          <w:rPr>
            <w:noProof/>
            <w:webHidden/>
          </w:rPr>
        </w:r>
        <w:r>
          <w:rPr>
            <w:noProof/>
            <w:webHidden/>
          </w:rPr>
          <w:fldChar w:fldCharType="separate"/>
        </w:r>
        <w:r w:rsidR="00F97260">
          <w:rPr>
            <w:noProof/>
            <w:webHidden/>
          </w:rPr>
          <w:t>12</w:t>
        </w:r>
        <w:r>
          <w:rPr>
            <w:noProof/>
            <w:webHidden/>
          </w:rPr>
          <w:fldChar w:fldCharType="end"/>
        </w:r>
      </w:hyperlink>
    </w:p>
    <w:p w14:paraId="2713EEFF" w14:textId="6C08E69B"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42" w:history="1">
        <w:r w:rsidRPr="0095399A">
          <w:rPr>
            <w:rStyle w:val="Hyperlink"/>
            <w:noProof/>
          </w:rPr>
          <w:t>2.5.</w:t>
        </w:r>
        <w:r>
          <w:rPr>
            <w:rFonts w:asciiTheme="minorHAnsi" w:eastAsiaTheme="minorEastAsia" w:hAnsiTheme="minorHAnsi" w:cstheme="minorBidi"/>
            <w:noProof/>
            <w:kern w:val="2"/>
            <w:sz w:val="24"/>
            <w:szCs w:val="24"/>
            <w14:ligatures w14:val="standardContextual"/>
          </w:rPr>
          <w:tab/>
        </w:r>
        <w:r w:rsidRPr="0095399A">
          <w:rPr>
            <w:rStyle w:val="Hyperlink"/>
            <w:noProof/>
          </w:rPr>
          <w:t>Benefits of Strong Privacy Practices</w:t>
        </w:r>
        <w:r>
          <w:rPr>
            <w:noProof/>
            <w:webHidden/>
          </w:rPr>
          <w:tab/>
        </w:r>
        <w:r>
          <w:rPr>
            <w:noProof/>
            <w:webHidden/>
          </w:rPr>
          <w:fldChar w:fldCharType="begin"/>
        </w:r>
        <w:r>
          <w:rPr>
            <w:noProof/>
            <w:webHidden/>
          </w:rPr>
          <w:instrText xml:space="preserve"> PAGEREF _Toc231895142 \h </w:instrText>
        </w:r>
        <w:r>
          <w:rPr>
            <w:noProof/>
            <w:webHidden/>
          </w:rPr>
        </w:r>
        <w:r>
          <w:rPr>
            <w:noProof/>
            <w:webHidden/>
          </w:rPr>
          <w:fldChar w:fldCharType="separate"/>
        </w:r>
        <w:r w:rsidR="00F97260">
          <w:rPr>
            <w:noProof/>
            <w:webHidden/>
          </w:rPr>
          <w:t>12</w:t>
        </w:r>
        <w:r>
          <w:rPr>
            <w:noProof/>
            <w:webHidden/>
          </w:rPr>
          <w:fldChar w:fldCharType="end"/>
        </w:r>
      </w:hyperlink>
    </w:p>
    <w:p w14:paraId="42C4771E" w14:textId="56E6B8F4" w:rsidR="009F778D" w:rsidRDefault="009F778D">
      <w:pPr>
        <w:pStyle w:val="TOC3"/>
        <w:tabs>
          <w:tab w:val="left" w:pos="1599"/>
        </w:tabs>
        <w:rPr>
          <w:rFonts w:asciiTheme="minorHAnsi" w:eastAsiaTheme="minorEastAsia" w:hAnsiTheme="minorHAnsi" w:cstheme="minorBidi"/>
          <w:noProof/>
          <w:color w:val="auto"/>
          <w:kern w:val="2"/>
          <w:sz w:val="24"/>
          <w:szCs w:val="24"/>
          <w14:ligatures w14:val="standardContextual"/>
        </w:rPr>
      </w:pPr>
      <w:hyperlink w:anchor="_Toc231895143" w:history="1">
        <w:r w:rsidRPr="0095399A">
          <w:rPr>
            <w:rStyle w:val="Hyperlink"/>
            <w:noProof/>
          </w:rPr>
          <w:t>Chapter 3:</w:t>
        </w:r>
        <w:r>
          <w:rPr>
            <w:rFonts w:asciiTheme="minorHAnsi" w:eastAsiaTheme="minorEastAsia" w:hAnsiTheme="minorHAnsi" w:cstheme="minorBidi"/>
            <w:noProof/>
            <w:color w:val="auto"/>
            <w:kern w:val="2"/>
            <w:sz w:val="24"/>
            <w:szCs w:val="24"/>
            <w14:ligatures w14:val="standardContextual"/>
          </w:rPr>
          <w:tab/>
        </w:r>
        <w:r w:rsidRPr="0095399A">
          <w:rPr>
            <w:rStyle w:val="Hyperlink"/>
            <w:noProof/>
          </w:rPr>
          <w:t>Sources of regulation and how they fit together</w:t>
        </w:r>
        <w:r>
          <w:rPr>
            <w:noProof/>
            <w:webHidden/>
          </w:rPr>
          <w:tab/>
        </w:r>
        <w:r>
          <w:rPr>
            <w:noProof/>
            <w:webHidden/>
          </w:rPr>
          <w:fldChar w:fldCharType="begin"/>
        </w:r>
        <w:r>
          <w:rPr>
            <w:noProof/>
            <w:webHidden/>
          </w:rPr>
          <w:instrText xml:space="preserve"> PAGEREF _Toc231895143 \h </w:instrText>
        </w:r>
        <w:r>
          <w:rPr>
            <w:noProof/>
            <w:webHidden/>
          </w:rPr>
        </w:r>
        <w:r>
          <w:rPr>
            <w:noProof/>
            <w:webHidden/>
          </w:rPr>
          <w:fldChar w:fldCharType="separate"/>
        </w:r>
        <w:r w:rsidR="00F97260">
          <w:rPr>
            <w:noProof/>
            <w:webHidden/>
          </w:rPr>
          <w:t>15</w:t>
        </w:r>
        <w:r>
          <w:rPr>
            <w:noProof/>
            <w:webHidden/>
          </w:rPr>
          <w:fldChar w:fldCharType="end"/>
        </w:r>
      </w:hyperlink>
    </w:p>
    <w:p w14:paraId="061A8E02" w14:textId="2C9645CB"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44" w:history="1">
        <w:r w:rsidRPr="0095399A">
          <w:rPr>
            <w:rStyle w:val="Hyperlink"/>
            <w:noProof/>
          </w:rPr>
          <w:t>3.1.</w:t>
        </w:r>
        <w:r>
          <w:rPr>
            <w:rFonts w:asciiTheme="minorHAnsi" w:eastAsiaTheme="minorEastAsia" w:hAnsiTheme="minorHAnsi" w:cstheme="minorBidi"/>
            <w:noProof/>
            <w:kern w:val="2"/>
            <w:sz w:val="24"/>
            <w:szCs w:val="24"/>
            <w14:ligatures w14:val="standardContextual"/>
          </w:rPr>
          <w:tab/>
        </w:r>
        <w:r w:rsidRPr="0095399A">
          <w:rPr>
            <w:rStyle w:val="Hyperlink"/>
            <w:noProof/>
          </w:rPr>
          <w:t>The Privacy Act 1988 (Cth)</w:t>
        </w:r>
        <w:r>
          <w:rPr>
            <w:noProof/>
            <w:webHidden/>
          </w:rPr>
          <w:tab/>
        </w:r>
        <w:r>
          <w:rPr>
            <w:noProof/>
            <w:webHidden/>
          </w:rPr>
          <w:fldChar w:fldCharType="begin"/>
        </w:r>
        <w:r>
          <w:rPr>
            <w:noProof/>
            <w:webHidden/>
          </w:rPr>
          <w:instrText xml:space="preserve"> PAGEREF _Toc231895144 \h </w:instrText>
        </w:r>
        <w:r>
          <w:rPr>
            <w:noProof/>
            <w:webHidden/>
          </w:rPr>
        </w:r>
        <w:r>
          <w:rPr>
            <w:noProof/>
            <w:webHidden/>
          </w:rPr>
          <w:fldChar w:fldCharType="separate"/>
        </w:r>
        <w:r w:rsidR="00F97260">
          <w:rPr>
            <w:noProof/>
            <w:webHidden/>
          </w:rPr>
          <w:t>15</w:t>
        </w:r>
        <w:r>
          <w:rPr>
            <w:noProof/>
            <w:webHidden/>
          </w:rPr>
          <w:fldChar w:fldCharType="end"/>
        </w:r>
      </w:hyperlink>
    </w:p>
    <w:p w14:paraId="43C6A543" w14:textId="5382501D"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45" w:history="1">
        <w:r w:rsidRPr="0095399A">
          <w:rPr>
            <w:rStyle w:val="Hyperlink"/>
            <w:noProof/>
          </w:rPr>
          <w:t>3.2.</w:t>
        </w:r>
        <w:r>
          <w:rPr>
            <w:rFonts w:asciiTheme="minorHAnsi" w:eastAsiaTheme="minorEastAsia" w:hAnsiTheme="minorHAnsi" w:cstheme="minorBidi"/>
            <w:noProof/>
            <w:kern w:val="2"/>
            <w:sz w:val="24"/>
            <w:szCs w:val="24"/>
            <w14:ligatures w14:val="standardContextual"/>
          </w:rPr>
          <w:tab/>
        </w:r>
        <w:r w:rsidRPr="0095399A">
          <w:rPr>
            <w:rStyle w:val="Hyperlink"/>
            <w:noProof/>
          </w:rPr>
          <w:t>The Australian Privacy Principles</w:t>
        </w:r>
        <w:r>
          <w:rPr>
            <w:noProof/>
            <w:webHidden/>
          </w:rPr>
          <w:tab/>
        </w:r>
        <w:r>
          <w:rPr>
            <w:noProof/>
            <w:webHidden/>
          </w:rPr>
          <w:fldChar w:fldCharType="begin"/>
        </w:r>
        <w:r>
          <w:rPr>
            <w:noProof/>
            <w:webHidden/>
          </w:rPr>
          <w:instrText xml:space="preserve"> PAGEREF _Toc231895145 \h </w:instrText>
        </w:r>
        <w:r>
          <w:rPr>
            <w:noProof/>
            <w:webHidden/>
          </w:rPr>
        </w:r>
        <w:r>
          <w:rPr>
            <w:noProof/>
            <w:webHidden/>
          </w:rPr>
          <w:fldChar w:fldCharType="separate"/>
        </w:r>
        <w:r w:rsidR="00F97260">
          <w:rPr>
            <w:noProof/>
            <w:webHidden/>
          </w:rPr>
          <w:t>16</w:t>
        </w:r>
        <w:r>
          <w:rPr>
            <w:noProof/>
            <w:webHidden/>
          </w:rPr>
          <w:fldChar w:fldCharType="end"/>
        </w:r>
      </w:hyperlink>
    </w:p>
    <w:p w14:paraId="36BEE092" w14:textId="73BFB333"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46" w:history="1">
        <w:r w:rsidRPr="0095399A">
          <w:rPr>
            <w:rStyle w:val="Hyperlink"/>
            <w:noProof/>
          </w:rPr>
          <w:t>3.3.</w:t>
        </w:r>
        <w:r>
          <w:rPr>
            <w:rFonts w:asciiTheme="minorHAnsi" w:eastAsiaTheme="minorEastAsia" w:hAnsiTheme="minorHAnsi" w:cstheme="minorBidi"/>
            <w:noProof/>
            <w:kern w:val="2"/>
            <w:sz w:val="24"/>
            <w:szCs w:val="24"/>
            <w14:ligatures w14:val="standardContextual"/>
          </w:rPr>
          <w:tab/>
        </w:r>
        <w:r w:rsidRPr="0095399A">
          <w:rPr>
            <w:rStyle w:val="Hyperlink"/>
            <w:noProof/>
          </w:rPr>
          <w:t>The Notifiable Data Breaches Scheme</w:t>
        </w:r>
        <w:r>
          <w:rPr>
            <w:noProof/>
            <w:webHidden/>
          </w:rPr>
          <w:tab/>
        </w:r>
        <w:r>
          <w:rPr>
            <w:noProof/>
            <w:webHidden/>
          </w:rPr>
          <w:fldChar w:fldCharType="begin"/>
        </w:r>
        <w:r>
          <w:rPr>
            <w:noProof/>
            <w:webHidden/>
          </w:rPr>
          <w:instrText xml:space="preserve"> PAGEREF _Toc231895146 \h </w:instrText>
        </w:r>
        <w:r>
          <w:rPr>
            <w:noProof/>
            <w:webHidden/>
          </w:rPr>
        </w:r>
        <w:r>
          <w:rPr>
            <w:noProof/>
            <w:webHidden/>
          </w:rPr>
          <w:fldChar w:fldCharType="separate"/>
        </w:r>
        <w:r w:rsidR="00F97260">
          <w:rPr>
            <w:noProof/>
            <w:webHidden/>
          </w:rPr>
          <w:t>18</w:t>
        </w:r>
        <w:r>
          <w:rPr>
            <w:noProof/>
            <w:webHidden/>
          </w:rPr>
          <w:fldChar w:fldCharType="end"/>
        </w:r>
      </w:hyperlink>
    </w:p>
    <w:p w14:paraId="53BA03B9" w14:textId="76D6403F"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47" w:history="1">
        <w:r w:rsidRPr="0095399A">
          <w:rPr>
            <w:rStyle w:val="Hyperlink"/>
            <w:noProof/>
          </w:rPr>
          <w:t>3.4.</w:t>
        </w:r>
        <w:r>
          <w:rPr>
            <w:rFonts w:asciiTheme="minorHAnsi" w:eastAsiaTheme="minorEastAsia" w:hAnsiTheme="minorHAnsi" w:cstheme="minorBidi"/>
            <w:noProof/>
            <w:kern w:val="2"/>
            <w:sz w:val="24"/>
            <w:szCs w:val="24"/>
            <w14:ligatures w14:val="standardContextual"/>
          </w:rPr>
          <w:tab/>
        </w:r>
        <w:r w:rsidRPr="0095399A">
          <w:rPr>
            <w:rStyle w:val="Hyperlink"/>
            <w:noProof/>
          </w:rPr>
          <w:t>The AML/CTF Act and Rules</w:t>
        </w:r>
        <w:r>
          <w:rPr>
            <w:noProof/>
            <w:webHidden/>
          </w:rPr>
          <w:tab/>
        </w:r>
        <w:r>
          <w:rPr>
            <w:noProof/>
            <w:webHidden/>
          </w:rPr>
          <w:fldChar w:fldCharType="begin"/>
        </w:r>
        <w:r>
          <w:rPr>
            <w:noProof/>
            <w:webHidden/>
          </w:rPr>
          <w:instrText xml:space="preserve"> PAGEREF _Toc231895147 \h </w:instrText>
        </w:r>
        <w:r>
          <w:rPr>
            <w:noProof/>
            <w:webHidden/>
          </w:rPr>
        </w:r>
        <w:r>
          <w:rPr>
            <w:noProof/>
            <w:webHidden/>
          </w:rPr>
          <w:fldChar w:fldCharType="separate"/>
        </w:r>
        <w:r w:rsidR="00F97260">
          <w:rPr>
            <w:noProof/>
            <w:webHidden/>
          </w:rPr>
          <w:t>18</w:t>
        </w:r>
        <w:r>
          <w:rPr>
            <w:noProof/>
            <w:webHidden/>
          </w:rPr>
          <w:fldChar w:fldCharType="end"/>
        </w:r>
      </w:hyperlink>
    </w:p>
    <w:p w14:paraId="222DC360" w14:textId="0324E924"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48" w:history="1">
        <w:r w:rsidRPr="0095399A">
          <w:rPr>
            <w:rStyle w:val="Hyperlink"/>
            <w:noProof/>
          </w:rPr>
          <w:t>3.5.</w:t>
        </w:r>
        <w:r>
          <w:rPr>
            <w:rFonts w:asciiTheme="minorHAnsi" w:eastAsiaTheme="minorEastAsia" w:hAnsiTheme="minorHAnsi" w:cstheme="minorBidi"/>
            <w:noProof/>
            <w:kern w:val="2"/>
            <w:sz w:val="24"/>
            <w:szCs w:val="24"/>
            <w14:ligatures w14:val="standardContextual"/>
          </w:rPr>
          <w:tab/>
        </w:r>
        <w:r w:rsidRPr="0095399A">
          <w:rPr>
            <w:rStyle w:val="Hyperlink"/>
            <w:noProof/>
          </w:rPr>
          <w:t>Professional Obligations</w:t>
        </w:r>
        <w:r>
          <w:rPr>
            <w:noProof/>
            <w:webHidden/>
          </w:rPr>
          <w:tab/>
        </w:r>
        <w:r>
          <w:rPr>
            <w:noProof/>
            <w:webHidden/>
          </w:rPr>
          <w:fldChar w:fldCharType="begin"/>
        </w:r>
        <w:r>
          <w:rPr>
            <w:noProof/>
            <w:webHidden/>
          </w:rPr>
          <w:instrText xml:space="preserve"> PAGEREF _Toc231895148 \h </w:instrText>
        </w:r>
        <w:r>
          <w:rPr>
            <w:noProof/>
            <w:webHidden/>
          </w:rPr>
        </w:r>
        <w:r>
          <w:rPr>
            <w:noProof/>
            <w:webHidden/>
          </w:rPr>
          <w:fldChar w:fldCharType="separate"/>
        </w:r>
        <w:r w:rsidR="00F97260">
          <w:rPr>
            <w:noProof/>
            <w:webHidden/>
          </w:rPr>
          <w:t>20</w:t>
        </w:r>
        <w:r>
          <w:rPr>
            <w:noProof/>
            <w:webHidden/>
          </w:rPr>
          <w:fldChar w:fldCharType="end"/>
        </w:r>
      </w:hyperlink>
    </w:p>
    <w:p w14:paraId="50ACF452" w14:textId="31C5C56C"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49" w:history="1">
        <w:r w:rsidRPr="0095399A">
          <w:rPr>
            <w:rStyle w:val="Hyperlink"/>
            <w:noProof/>
          </w:rPr>
          <w:t>3.6.</w:t>
        </w:r>
        <w:r>
          <w:rPr>
            <w:rFonts w:asciiTheme="minorHAnsi" w:eastAsiaTheme="minorEastAsia" w:hAnsiTheme="minorHAnsi" w:cstheme="minorBidi"/>
            <w:noProof/>
            <w:kern w:val="2"/>
            <w:sz w:val="24"/>
            <w:szCs w:val="24"/>
            <w14:ligatures w14:val="standardContextual"/>
          </w:rPr>
          <w:tab/>
        </w:r>
        <w:r w:rsidRPr="0095399A">
          <w:rPr>
            <w:rStyle w:val="Hyperlink"/>
            <w:noProof/>
          </w:rPr>
          <w:t>The OAIC's Role</w:t>
        </w:r>
        <w:r>
          <w:rPr>
            <w:noProof/>
            <w:webHidden/>
          </w:rPr>
          <w:tab/>
        </w:r>
        <w:r>
          <w:rPr>
            <w:noProof/>
            <w:webHidden/>
          </w:rPr>
          <w:fldChar w:fldCharType="begin"/>
        </w:r>
        <w:r>
          <w:rPr>
            <w:noProof/>
            <w:webHidden/>
          </w:rPr>
          <w:instrText xml:space="preserve"> PAGEREF _Toc231895149 \h </w:instrText>
        </w:r>
        <w:r>
          <w:rPr>
            <w:noProof/>
            <w:webHidden/>
          </w:rPr>
        </w:r>
        <w:r>
          <w:rPr>
            <w:noProof/>
            <w:webHidden/>
          </w:rPr>
          <w:fldChar w:fldCharType="separate"/>
        </w:r>
        <w:r w:rsidR="00F97260">
          <w:rPr>
            <w:noProof/>
            <w:webHidden/>
          </w:rPr>
          <w:t>21</w:t>
        </w:r>
        <w:r>
          <w:rPr>
            <w:noProof/>
            <w:webHidden/>
          </w:rPr>
          <w:fldChar w:fldCharType="end"/>
        </w:r>
      </w:hyperlink>
    </w:p>
    <w:p w14:paraId="1625BB58" w14:textId="538E34E3" w:rsidR="009F778D" w:rsidRDefault="009F778D">
      <w:pPr>
        <w:pStyle w:val="TOC1"/>
        <w:tabs>
          <w:tab w:val="right" w:leader="dot" w:pos="9016"/>
        </w:tabs>
        <w:rPr>
          <w:rFonts w:asciiTheme="minorHAnsi" w:eastAsiaTheme="minorEastAsia" w:hAnsiTheme="minorHAnsi" w:cstheme="minorBidi"/>
          <w:b w:val="0"/>
          <w:bCs w:val="0"/>
          <w:caps w:val="0"/>
          <w:noProof/>
          <w:color w:val="auto"/>
          <w:kern w:val="2"/>
          <w14:ligatures w14:val="standardContextual"/>
        </w:rPr>
      </w:pPr>
      <w:hyperlink w:anchor="_Toc231895150" w:history="1">
        <w:r w:rsidRPr="0095399A">
          <w:rPr>
            <w:rStyle w:val="Hyperlink"/>
            <w:noProof/>
          </w:rPr>
          <w:t>PART B</w:t>
        </w:r>
        <w:r>
          <w:rPr>
            <w:noProof/>
            <w:webHidden/>
          </w:rPr>
          <w:tab/>
        </w:r>
        <w:r>
          <w:rPr>
            <w:noProof/>
            <w:webHidden/>
          </w:rPr>
          <w:fldChar w:fldCharType="begin"/>
        </w:r>
        <w:r>
          <w:rPr>
            <w:noProof/>
            <w:webHidden/>
          </w:rPr>
          <w:instrText xml:space="preserve"> PAGEREF _Toc231895150 \h </w:instrText>
        </w:r>
        <w:r>
          <w:rPr>
            <w:noProof/>
            <w:webHidden/>
          </w:rPr>
        </w:r>
        <w:r>
          <w:rPr>
            <w:noProof/>
            <w:webHidden/>
          </w:rPr>
          <w:fldChar w:fldCharType="separate"/>
        </w:r>
        <w:r w:rsidR="00F97260">
          <w:rPr>
            <w:noProof/>
            <w:webHidden/>
          </w:rPr>
          <w:t>22</w:t>
        </w:r>
        <w:r>
          <w:rPr>
            <w:noProof/>
            <w:webHidden/>
          </w:rPr>
          <w:fldChar w:fldCharType="end"/>
        </w:r>
      </w:hyperlink>
    </w:p>
    <w:p w14:paraId="4090D25F" w14:textId="542C2FDA" w:rsidR="009F778D" w:rsidRDefault="009F778D">
      <w:pPr>
        <w:pStyle w:val="TOC2"/>
        <w:tabs>
          <w:tab w:val="right" w:leader="dot" w:pos="9016"/>
        </w:tabs>
        <w:rPr>
          <w:rFonts w:asciiTheme="minorHAnsi" w:eastAsiaTheme="minorEastAsia" w:hAnsiTheme="minorHAnsi" w:cstheme="minorBidi"/>
          <w:bCs w:val="0"/>
          <w:noProof/>
          <w:color w:val="auto"/>
          <w:kern w:val="2"/>
          <w:sz w:val="24"/>
          <w:szCs w:val="24"/>
          <w14:ligatures w14:val="standardContextual"/>
        </w:rPr>
      </w:pPr>
      <w:hyperlink w:anchor="_Toc231895151" w:history="1">
        <w:r w:rsidRPr="0095399A">
          <w:rPr>
            <w:rStyle w:val="Hyperlink"/>
            <w:noProof/>
          </w:rPr>
          <w:t>FROM OBSERVING CONFIDENTIALITY  TO PRIVACY COMPLIANCE</w:t>
        </w:r>
        <w:r>
          <w:rPr>
            <w:noProof/>
            <w:webHidden/>
          </w:rPr>
          <w:tab/>
        </w:r>
        <w:r>
          <w:rPr>
            <w:noProof/>
            <w:webHidden/>
          </w:rPr>
          <w:fldChar w:fldCharType="begin"/>
        </w:r>
        <w:r>
          <w:rPr>
            <w:noProof/>
            <w:webHidden/>
          </w:rPr>
          <w:instrText xml:space="preserve"> PAGEREF _Toc231895151 \h </w:instrText>
        </w:r>
        <w:r>
          <w:rPr>
            <w:noProof/>
            <w:webHidden/>
          </w:rPr>
        </w:r>
        <w:r>
          <w:rPr>
            <w:noProof/>
            <w:webHidden/>
          </w:rPr>
          <w:fldChar w:fldCharType="separate"/>
        </w:r>
        <w:r w:rsidR="00F97260">
          <w:rPr>
            <w:noProof/>
            <w:webHidden/>
          </w:rPr>
          <w:t>22</w:t>
        </w:r>
        <w:r>
          <w:rPr>
            <w:noProof/>
            <w:webHidden/>
          </w:rPr>
          <w:fldChar w:fldCharType="end"/>
        </w:r>
      </w:hyperlink>
    </w:p>
    <w:p w14:paraId="0EE35138" w14:textId="02186A30" w:rsidR="009F778D" w:rsidRDefault="009F778D">
      <w:pPr>
        <w:pStyle w:val="TOC3"/>
        <w:tabs>
          <w:tab w:val="left" w:pos="1599"/>
        </w:tabs>
        <w:rPr>
          <w:rFonts w:asciiTheme="minorHAnsi" w:eastAsiaTheme="minorEastAsia" w:hAnsiTheme="minorHAnsi" w:cstheme="minorBidi"/>
          <w:noProof/>
          <w:color w:val="auto"/>
          <w:kern w:val="2"/>
          <w:sz w:val="24"/>
          <w:szCs w:val="24"/>
          <w14:ligatures w14:val="standardContextual"/>
        </w:rPr>
      </w:pPr>
      <w:hyperlink w:anchor="_Toc231895152" w:history="1">
        <w:r w:rsidRPr="0095399A">
          <w:rPr>
            <w:rStyle w:val="Hyperlink"/>
            <w:noProof/>
          </w:rPr>
          <w:t>Chapter 4:</w:t>
        </w:r>
        <w:r>
          <w:rPr>
            <w:rFonts w:asciiTheme="minorHAnsi" w:eastAsiaTheme="minorEastAsia" w:hAnsiTheme="minorHAnsi" w:cstheme="minorBidi"/>
            <w:noProof/>
            <w:color w:val="auto"/>
            <w:kern w:val="2"/>
            <w:sz w:val="24"/>
            <w:szCs w:val="24"/>
            <w14:ligatures w14:val="standardContextual"/>
          </w:rPr>
          <w:tab/>
        </w:r>
        <w:r w:rsidRPr="0095399A">
          <w:rPr>
            <w:rStyle w:val="Hyperlink"/>
            <w:noProof/>
          </w:rPr>
          <w:t>Confidentiality vs Privacy — Key Distinctions</w:t>
        </w:r>
        <w:r>
          <w:rPr>
            <w:noProof/>
            <w:webHidden/>
          </w:rPr>
          <w:tab/>
        </w:r>
        <w:r>
          <w:rPr>
            <w:noProof/>
            <w:webHidden/>
          </w:rPr>
          <w:fldChar w:fldCharType="begin"/>
        </w:r>
        <w:r>
          <w:rPr>
            <w:noProof/>
            <w:webHidden/>
          </w:rPr>
          <w:instrText xml:space="preserve"> PAGEREF _Toc231895152 \h </w:instrText>
        </w:r>
        <w:r>
          <w:rPr>
            <w:noProof/>
            <w:webHidden/>
          </w:rPr>
        </w:r>
        <w:r>
          <w:rPr>
            <w:noProof/>
            <w:webHidden/>
          </w:rPr>
          <w:fldChar w:fldCharType="separate"/>
        </w:r>
        <w:r w:rsidR="00F97260">
          <w:rPr>
            <w:noProof/>
            <w:webHidden/>
          </w:rPr>
          <w:t>22</w:t>
        </w:r>
        <w:r>
          <w:rPr>
            <w:noProof/>
            <w:webHidden/>
          </w:rPr>
          <w:fldChar w:fldCharType="end"/>
        </w:r>
      </w:hyperlink>
    </w:p>
    <w:p w14:paraId="41AF887E" w14:textId="26B4B06D"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53" w:history="1">
        <w:r w:rsidRPr="0095399A">
          <w:rPr>
            <w:rStyle w:val="Hyperlink"/>
            <w:noProof/>
          </w:rPr>
          <w:t>4.1.</w:t>
        </w:r>
        <w:r>
          <w:rPr>
            <w:rFonts w:asciiTheme="minorHAnsi" w:eastAsiaTheme="minorEastAsia" w:hAnsiTheme="minorHAnsi" w:cstheme="minorBidi"/>
            <w:noProof/>
            <w:kern w:val="2"/>
            <w:sz w:val="24"/>
            <w:szCs w:val="24"/>
            <w14:ligatures w14:val="standardContextual"/>
          </w:rPr>
          <w:tab/>
        </w:r>
        <w:r w:rsidRPr="0095399A">
          <w:rPr>
            <w:rStyle w:val="Hyperlink"/>
            <w:noProof/>
          </w:rPr>
          <w:t>The Familiar Territory: Solicitor's Duty of Confidentiality</w:t>
        </w:r>
        <w:r>
          <w:rPr>
            <w:noProof/>
            <w:webHidden/>
          </w:rPr>
          <w:tab/>
        </w:r>
        <w:r>
          <w:rPr>
            <w:noProof/>
            <w:webHidden/>
          </w:rPr>
          <w:fldChar w:fldCharType="begin"/>
        </w:r>
        <w:r>
          <w:rPr>
            <w:noProof/>
            <w:webHidden/>
          </w:rPr>
          <w:instrText xml:space="preserve"> PAGEREF _Toc231895153 \h </w:instrText>
        </w:r>
        <w:r>
          <w:rPr>
            <w:noProof/>
            <w:webHidden/>
          </w:rPr>
        </w:r>
        <w:r>
          <w:rPr>
            <w:noProof/>
            <w:webHidden/>
          </w:rPr>
          <w:fldChar w:fldCharType="separate"/>
        </w:r>
        <w:r w:rsidR="00F97260">
          <w:rPr>
            <w:noProof/>
            <w:webHidden/>
          </w:rPr>
          <w:t>22</w:t>
        </w:r>
        <w:r>
          <w:rPr>
            <w:noProof/>
            <w:webHidden/>
          </w:rPr>
          <w:fldChar w:fldCharType="end"/>
        </w:r>
      </w:hyperlink>
    </w:p>
    <w:p w14:paraId="061417A1" w14:textId="5FE806BE"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54" w:history="1">
        <w:r w:rsidRPr="0095399A">
          <w:rPr>
            <w:rStyle w:val="Hyperlink"/>
            <w:noProof/>
          </w:rPr>
          <w:t>4.2.</w:t>
        </w:r>
        <w:r>
          <w:rPr>
            <w:rFonts w:asciiTheme="minorHAnsi" w:eastAsiaTheme="minorEastAsia" w:hAnsiTheme="minorHAnsi" w:cstheme="minorBidi"/>
            <w:noProof/>
            <w:kern w:val="2"/>
            <w:sz w:val="24"/>
            <w:szCs w:val="24"/>
            <w14:ligatures w14:val="standardContextual"/>
          </w:rPr>
          <w:tab/>
        </w:r>
        <w:r w:rsidRPr="0095399A">
          <w:rPr>
            <w:rStyle w:val="Hyperlink"/>
            <w:noProof/>
          </w:rPr>
          <w:t>New Privacy Obligations</w:t>
        </w:r>
        <w:r>
          <w:rPr>
            <w:noProof/>
            <w:webHidden/>
          </w:rPr>
          <w:tab/>
        </w:r>
        <w:r>
          <w:rPr>
            <w:noProof/>
            <w:webHidden/>
          </w:rPr>
          <w:fldChar w:fldCharType="begin"/>
        </w:r>
        <w:r>
          <w:rPr>
            <w:noProof/>
            <w:webHidden/>
          </w:rPr>
          <w:instrText xml:space="preserve"> PAGEREF _Toc231895154 \h </w:instrText>
        </w:r>
        <w:r>
          <w:rPr>
            <w:noProof/>
            <w:webHidden/>
          </w:rPr>
        </w:r>
        <w:r>
          <w:rPr>
            <w:noProof/>
            <w:webHidden/>
          </w:rPr>
          <w:fldChar w:fldCharType="separate"/>
        </w:r>
        <w:r w:rsidR="00F97260">
          <w:rPr>
            <w:noProof/>
            <w:webHidden/>
          </w:rPr>
          <w:t>22</w:t>
        </w:r>
        <w:r>
          <w:rPr>
            <w:noProof/>
            <w:webHidden/>
          </w:rPr>
          <w:fldChar w:fldCharType="end"/>
        </w:r>
      </w:hyperlink>
    </w:p>
    <w:p w14:paraId="4BDB2466" w14:textId="3113D7A5"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55" w:history="1">
        <w:r w:rsidRPr="0095399A">
          <w:rPr>
            <w:rStyle w:val="Hyperlink"/>
            <w:noProof/>
          </w:rPr>
          <w:t>4.3.</w:t>
        </w:r>
        <w:r>
          <w:rPr>
            <w:rFonts w:asciiTheme="minorHAnsi" w:eastAsiaTheme="minorEastAsia" w:hAnsiTheme="minorHAnsi" w:cstheme="minorBidi"/>
            <w:noProof/>
            <w:kern w:val="2"/>
            <w:sz w:val="24"/>
            <w:szCs w:val="24"/>
            <w14:ligatures w14:val="standardContextual"/>
          </w:rPr>
          <w:tab/>
        </w:r>
        <w:r w:rsidRPr="0095399A">
          <w:rPr>
            <w:rStyle w:val="Hyperlink"/>
            <w:noProof/>
          </w:rPr>
          <w:t>How They Interact in Practice</w:t>
        </w:r>
        <w:r>
          <w:rPr>
            <w:noProof/>
            <w:webHidden/>
          </w:rPr>
          <w:tab/>
        </w:r>
        <w:r>
          <w:rPr>
            <w:noProof/>
            <w:webHidden/>
          </w:rPr>
          <w:fldChar w:fldCharType="begin"/>
        </w:r>
        <w:r>
          <w:rPr>
            <w:noProof/>
            <w:webHidden/>
          </w:rPr>
          <w:instrText xml:space="preserve"> PAGEREF _Toc231895155 \h </w:instrText>
        </w:r>
        <w:r>
          <w:rPr>
            <w:noProof/>
            <w:webHidden/>
          </w:rPr>
        </w:r>
        <w:r>
          <w:rPr>
            <w:noProof/>
            <w:webHidden/>
          </w:rPr>
          <w:fldChar w:fldCharType="separate"/>
        </w:r>
        <w:r w:rsidR="00F97260">
          <w:rPr>
            <w:noProof/>
            <w:webHidden/>
          </w:rPr>
          <w:t>23</w:t>
        </w:r>
        <w:r>
          <w:rPr>
            <w:noProof/>
            <w:webHidden/>
          </w:rPr>
          <w:fldChar w:fldCharType="end"/>
        </w:r>
      </w:hyperlink>
    </w:p>
    <w:p w14:paraId="31103DA3" w14:textId="21C14E0A"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56" w:history="1">
        <w:r w:rsidRPr="0095399A">
          <w:rPr>
            <w:rStyle w:val="Hyperlink"/>
            <w:noProof/>
          </w:rPr>
          <w:t>4.4.</w:t>
        </w:r>
        <w:r>
          <w:rPr>
            <w:rFonts w:asciiTheme="minorHAnsi" w:eastAsiaTheme="minorEastAsia" w:hAnsiTheme="minorHAnsi" w:cstheme="minorBidi"/>
            <w:noProof/>
            <w:kern w:val="2"/>
            <w:sz w:val="24"/>
            <w:szCs w:val="24"/>
            <w14:ligatures w14:val="standardContextual"/>
          </w:rPr>
          <w:tab/>
        </w:r>
        <w:r w:rsidRPr="0095399A">
          <w:rPr>
            <w:rStyle w:val="Hyperlink"/>
            <w:noProof/>
          </w:rPr>
          <w:t>Practical Implications</w:t>
        </w:r>
        <w:r>
          <w:rPr>
            <w:noProof/>
            <w:webHidden/>
          </w:rPr>
          <w:tab/>
        </w:r>
        <w:r>
          <w:rPr>
            <w:noProof/>
            <w:webHidden/>
          </w:rPr>
          <w:fldChar w:fldCharType="begin"/>
        </w:r>
        <w:r>
          <w:rPr>
            <w:noProof/>
            <w:webHidden/>
          </w:rPr>
          <w:instrText xml:space="preserve"> PAGEREF _Toc231895156 \h </w:instrText>
        </w:r>
        <w:r>
          <w:rPr>
            <w:noProof/>
            <w:webHidden/>
          </w:rPr>
        </w:r>
        <w:r>
          <w:rPr>
            <w:noProof/>
            <w:webHidden/>
          </w:rPr>
          <w:fldChar w:fldCharType="separate"/>
        </w:r>
        <w:r w:rsidR="00F97260">
          <w:rPr>
            <w:noProof/>
            <w:webHidden/>
          </w:rPr>
          <w:t>24</w:t>
        </w:r>
        <w:r>
          <w:rPr>
            <w:noProof/>
            <w:webHidden/>
          </w:rPr>
          <w:fldChar w:fldCharType="end"/>
        </w:r>
      </w:hyperlink>
    </w:p>
    <w:p w14:paraId="57197539" w14:textId="764FB003" w:rsidR="009F778D" w:rsidRDefault="009F778D">
      <w:pPr>
        <w:pStyle w:val="TOC3"/>
        <w:tabs>
          <w:tab w:val="left" w:pos="1599"/>
        </w:tabs>
        <w:rPr>
          <w:rFonts w:asciiTheme="minorHAnsi" w:eastAsiaTheme="minorEastAsia" w:hAnsiTheme="minorHAnsi" w:cstheme="minorBidi"/>
          <w:noProof/>
          <w:color w:val="auto"/>
          <w:kern w:val="2"/>
          <w:sz w:val="24"/>
          <w:szCs w:val="24"/>
          <w14:ligatures w14:val="standardContextual"/>
        </w:rPr>
      </w:pPr>
      <w:hyperlink w:anchor="_Toc231895157" w:history="1">
        <w:r w:rsidRPr="0095399A">
          <w:rPr>
            <w:rStyle w:val="Hyperlink"/>
            <w:noProof/>
          </w:rPr>
          <w:t>Chapter 5:</w:t>
        </w:r>
        <w:r>
          <w:rPr>
            <w:rFonts w:asciiTheme="minorHAnsi" w:eastAsiaTheme="minorEastAsia" w:hAnsiTheme="minorHAnsi" w:cstheme="minorBidi"/>
            <w:noProof/>
            <w:color w:val="auto"/>
            <w:kern w:val="2"/>
            <w:sz w:val="24"/>
            <w:szCs w:val="24"/>
            <w14:ligatures w14:val="standardContextual"/>
          </w:rPr>
          <w:tab/>
        </w:r>
        <w:r w:rsidRPr="0095399A">
          <w:rPr>
            <w:rStyle w:val="Hyperlink"/>
            <w:noProof/>
          </w:rPr>
          <w:t>What Changes for Your Firm</w:t>
        </w:r>
        <w:r>
          <w:rPr>
            <w:noProof/>
            <w:webHidden/>
          </w:rPr>
          <w:tab/>
        </w:r>
        <w:r>
          <w:rPr>
            <w:noProof/>
            <w:webHidden/>
          </w:rPr>
          <w:fldChar w:fldCharType="begin"/>
        </w:r>
        <w:r>
          <w:rPr>
            <w:noProof/>
            <w:webHidden/>
          </w:rPr>
          <w:instrText xml:space="preserve"> PAGEREF _Toc231895157 \h </w:instrText>
        </w:r>
        <w:r>
          <w:rPr>
            <w:noProof/>
            <w:webHidden/>
          </w:rPr>
        </w:r>
        <w:r>
          <w:rPr>
            <w:noProof/>
            <w:webHidden/>
          </w:rPr>
          <w:fldChar w:fldCharType="separate"/>
        </w:r>
        <w:r w:rsidR="00F97260">
          <w:rPr>
            <w:noProof/>
            <w:webHidden/>
          </w:rPr>
          <w:t>25</w:t>
        </w:r>
        <w:r>
          <w:rPr>
            <w:noProof/>
            <w:webHidden/>
          </w:rPr>
          <w:fldChar w:fldCharType="end"/>
        </w:r>
      </w:hyperlink>
    </w:p>
    <w:p w14:paraId="06B2F1D7" w14:textId="73E4F026"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58" w:history="1">
        <w:r w:rsidRPr="0095399A">
          <w:rPr>
            <w:rStyle w:val="Hyperlink"/>
            <w:noProof/>
          </w:rPr>
          <w:t>5.1.</w:t>
        </w:r>
        <w:r>
          <w:rPr>
            <w:rFonts w:asciiTheme="minorHAnsi" w:eastAsiaTheme="minorEastAsia" w:hAnsiTheme="minorHAnsi" w:cstheme="minorBidi"/>
            <w:noProof/>
            <w:kern w:val="2"/>
            <w:sz w:val="24"/>
            <w:szCs w:val="24"/>
            <w14:ligatures w14:val="standardContextual"/>
          </w:rPr>
          <w:tab/>
        </w:r>
        <w:r w:rsidRPr="0095399A">
          <w:rPr>
            <w:rStyle w:val="Hyperlink"/>
            <w:noProof/>
          </w:rPr>
          <w:t>New Documentation Requirements</w:t>
        </w:r>
        <w:r>
          <w:rPr>
            <w:noProof/>
            <w:webHidden/>
          </w:rPr>
          <w:tab/>
        </w:r>
        <w:r>
          <w:rPr>
            <w:noProof/>
            <w:webHidden/>
          </w:rPr>
          <w:fldChar w:fldCharType="begin"/>
        </w:r>
        <w:r>
          <w:rPr>
            <w:noProof/>
            <w:webHidden/>
          </w:rPr>
          <w:instrText xml:space="preserve"> PAGEREF _Toc231895158 \h </w:instrText>
        </w:r>
        <w:r>
          <w:rPr>
            <w:noProof/>
            <w:webHidden/>
          </w:rPr>
        </w:r>
        <w:r>
          <w:rPr>
            <w:noProof/>
            <w:webHidden/>
          </w:rPr>
          <w:fldChar w:fldCharType="separate"/>
        </w:r>
        <w:r w:rsidR="00F97260">
          <w:rPr>
            <w:noProof/>
            <w:webHidden/>
          </w:rPr>
          <w:t>25</w:t>
        </w:r>
        <w:r>
          <w:rPr>
            <w:noProof/>
            <w:webHidden/>
          </w:rPr>
          <w:fldChar w:fldCharType="end"/>
        </w:r>
      </w:hyperlink>
    </w:p>
    <w:p w14:paraId="19F46853" w14:textId="4C4B0BDA"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59" w:history="1">
        <w:r w:rsidRPr="0095399A">
          <w:rPr>
            <w:rStyle w:val="Hyperlink"/>
            <w:noProof/>
          </w:rPr>
          <w:t>5.2.</w:t>
        </w:r>
        <w:r>
          <w:rPr>
            <w:rFonts w:asciiTheme="minorHAnsi" w:eastAsiaTheme="minorEastAsia" w:hAnsiTheme="minorHAnsi" w:cstheme="minorBidi"/>
            <w:noProof/>
            <w:kern w:val="2"/>
            <w:sz w:val="24"/>
            <w:szCs w:val="24"/>
            <w14:ligatures w14:val="standardContextual"/>
          </w:rPr>
          <w:tab/>
        </w:r>
        <w:r w:rsidRPr="0095399A">
          <w:rPr>
            <w:rStyle w:val="Hyperlink"/>
            <w:noProof/>
          </w:rPr>
          <w:t>New Processes</w:t>
        </w:r>
        <w:r>
          <w:rPr>
            <w:noProof/>
            <w:webHidden/>
          </w:rPr>
          <w:tab/>
        </w:r>
        <w:r>
          <w:rPr>
            <w:noProof/>
            <w:webHidden/>
          </w:rPr>
          <w:fldChar w:fldCharType="begin"/>
        </w:r>
        <w:r>
          <w:rPr>
            <w:noProof/>
            <w:webHidden/>
          </w:rPr>
          <w:instrText xml:space="preserve"> PAGEREF _Toc231895159 \h </w:instrText>
        </w:r>
        <w:r>
          <w:rPr>
            <w:noProof/>
            <w:webHidden/>
          </w:rPr>
        </w:r>
        <w:r>
          <w:rPr>
            <w:noProof/>
            <w:webHidden/>
          </w:rPr>
          <w:fldChar w:fldCharType="separate"/>
        </w:r>
        <w:r w:rsidR="00F97260">
          <w:rPr>
            <w:noProof/>
            <w:webHidden/>
          </w:rPr>
          <w:t>26</w:t>
        </w:r>
        <w:r>
          <w:rPr>
            <w:noProof/>
            <w:webHidden/>
          </w:rPr>
          <w:fldChar w:fldCharType="end"/>
        </w:r>
      </w:hyperlink>
    </w:p>
    <w:p w14:paraId="5052F9DD" w14:textId="42A4994F"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60" w:history="1">
        <w:r w:rsidRPr="0095399A">
          <w:rPr>
            <w:rStyle w:val="Hyperlink"/>
            <w:noProof/>
          </w:rPr>
          <w:t>5.3.</w:t>
        </w:r>
        <w:r>
          <w:rPr>
            <w:rFonts w:asciiTheme="minorHAnsi" w:eastAsiaTheme="minorEastAsia" w:hAnsiTheme="minorHAnsi" w:cstheme="minorBidi"/>
            <w:noProof/>
            <w:kern w:val="2"/>
            <w:sz w:val="24"/>
            <w:szCs w:val="24"/>
            <w14:ligatures w14:val="standardContextual"/>
          </w:rPr>
          <w:tab/>
        </w:r>
        <w:r w:rsidRPr="0095399A">
          <w:rPr>
            <w:rStyle w:val="Hyperlink"/>
            <w:noProof/>
          </w:rPr>
          <w:t>Individual Rights: New Obligations</w:t>
        </w:r>
        <w:r>
          <w:rPr>
            <w:noProof/>
            <w:webHidden/>
          </w:rPr>
          <w:tab/>
        </w:r>
        <w:r>
          <w:rPr>
            <w:noProof/>
            <w:webHidden/>
          </w:rPr>
          <w:fldChar w:fldCharType="begin"/>
        </w:r>
        <w:r>
          <w:rPr>
            <w:noProof/>
            <w:webHidden/>
          </w:rPr>
          <w:instrText xml:space="preserve"> PAGEREF _Toc231895160 \h </w:instrText>
        </w:r>
        <w:r>
          <w:rPr>
            <w:noProof/>
            <w:webHidden/>
          </w:rPr>
        </w:r>
        <w:r>
          <w:rPr>
            <w:noProof/>
            <w:webHidden/>
          </w:rPr>
          <w:fldChar w:fldCharType="separate"/>
        </w:r>
        <w:r w:rsidR="00F97260">
          <w:rPr>
            <w:noProof/>
            <w:webHidden/>
          </w:rPr>
          <w:t>28</w:t>
        </w:r>
        <w:r>
          <w:rPr>
            <w:noProof/>
            <w:webHidden/>
          </w:rPr>
          <w:fldChar w:fldCharType="end"/>
        </w:r>
      </w:hyperlink>
    </w:p>
    <w:p w14:paraId="1A487897" w14:textId="1ADDE2A7"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61" w:history="1">
        <w:r w:rsidRPr="0095399A">
          <w:rPr>
            <w:rStyle w:val="Hyperlink"/>
            <w:noProof/>
          </w:rPr>
          <w:t>5.4.</w:t>
        </w:r>
        <w:r>
          <w:rPr>
            <w:rFonts w:asciiTheme="minorHAnsi" w:eastAsiaTheme="minorEastAsia" w:hAnsiTheme="minorHAnsi" w:cstheme="minorBidi"/>
            <w:noProof/>
            <w:kern w:val="2"/>
            <w:sz w:val="24"/>
            <w:szCs w:val="24"/>
            <w14:ligatures w14:val="standardContextual"/>
          </w:rPr>
          <w:tab/>
        </w:r>
        <w:r w:rsidRPr="0095399A">
          <w:rPr>
            <w:rStyle w:val="Hyperlink"/>
            <w:noProof/>
          </w:rPr>
          <w:t>What Stays the Same</w:t>
        </w:r>
        <w:r>
          <w:rPr>
            <w:noProof/>
            <w:webHidden/>
          </w:rPr>
          <w:tab/>
        </w:r>
        <w:r>
          <w:rPr>
            <w:noProof/>
            <w:webHidden/>
          </w:rPr>
          <w:fldChar w:fldCharType="begin"/>
        </w:r>
        <w:r>
          <w:rPr>
            <w:noProof/>
            <w:webHidden/>
          </w:rPr>
          <w:instrText xml:space="preserve"> PAGEREF _Toc231895161 \h </w:instrText>
        </w:r>
        <w:r>
          <w:rPr>
            <w:noProof/>
            <w:webHidden/>
          </w:rPr>
        </w:r>
        <w:r>
          <w:rPr>
            <w:noProof/>
            <w:webHidden/>
          </w:rPr>
          <w:fldChar w:fldCharType="separate"/>
        </w:r>
        <w:r w:rsidR="00F97260">
          <w:rPr>
            <w:noProof/>
            <w:webHidden/>
          </w:rPr>
          <w:t>30</w:t>
        </w:r>
        <w:r>
          <w:rPr>
            <w:noProof/>
            <w:webHidden/>
          </w:rPr>
          <w:fldChar w:fldCharType="end"/>
        </w:r>
      </w:hyperlink>
    </w:p>
    <w:p w14:paraId="69470282" w14:textId="1C1F2B51" w:rsidR="009F778D" w:rsidRDefault="009F778D">
      <w:pPr>
        <w:pStyle w:val="TOC3"/>
        <w:tabs>
          <w:tab w:val="left" w:pos="1599"/>
        </w:tabs>
        <w:rPr>
          <w:rFonts w:asciiTheme="minorHAnsi" w:eastAsiaTheme="minorEastAsia" w:hAnsiTheme="minorHAnsi" w:cstheme="minorBidi"/>
          <w:noProof/>
          <w:color w:val="auto"/>
          <w:kern w:val="2"/>
          <w:sz w:val="24"/>
          <w:szCs w:val="24"/>
          <w14:ligatures w14:val="standardContextual"/>
        </w:rPr>
      </w:pPr>
      <w:hyperlink w:anchor="_Toc231895162" w:history="1">
        <w:r w:rsidRPr="0095399A">
          <w:rPr>
            <w:rStyle w:val="Hyperlink"/>
            <w:noProof/>
          </w:rPr>
          <w:t>Chapter 6:</w:t>
        </w:r>
        <w:r>
          <w:rPr>
            <w:rFonts w:asciiTheme="minorHAnsi" w:eastAsiaTheme="minorEastAsia" w:hAnsiTheme="minorHAnsi" w:cstheme="minorBidi"/>
            <w:noProof/>
            <w:color w:val="auto"/>
            <w:kern w:val="2"/>
            <w:sz w:val="24"/>
            <w:szCs w:val="24"/>
            <w14:ligatures w14:val="standardContextual"/>
          </w:rPr>
          <w:tab/>
        </w:r>
        <w:r w:rsidRPr="0095399A">
          <w:rPr>
            <w:rStyle w:val="Hyperlink"/>
            <w:noProof/>
          </w:rPr>
          <w:t>Getting ready for privacy compliance.</w:t>
        </w:r>
        <w:r>
          <w:rPr>
            <w:noProof/>
            <w:webHidden/>
          </w:rPr>
          <w:tab/>
        </w:r>
        <w:r>
          <w:rPr>
            <w:noProof/>
            <w:webHidden/>
          </w:rPr>
          <w:fldChar w:fldCharType="begin"/>
        </w:r>
        <w:r>
          <w:rPr>
            <w:noProof/>
            <w:webHidden/>
          </w:rPr>
          <w:instrText xml:space="preserve"> PAGEREF _Toc231895162 \h </w:instrText>
        </w:r>
        <w:r>
          <w:rPr>
            <w:noProof/>
            <w:webHidden/>
          </w:rPr>
        </w:r>
        <w:r>
          <w:rPr>
            <w:noProof/>
            <w:webHidden/>
          </w:rPr>
          <w:fldChar w:fldCharType="separate"/>
        </w:r>
        <w:r w:rsidR="00F97260">
          <w:rPr>
            <w:noProof/>
            <w:webHidden/>
          </w:rPr>
          <w:t>32</w:t>
        </w:r>
        <w:r>
          <w:rPr>
            <w:noProof/>
            <w:webHidden/>
          </w:rPr>
          <w:fldChar w:fldCharType="end"/>
        </w:r>
      </w:hyperlink>
    </w:p>
    <w:p w14:paraId="64382445" w14:textId="50EB9CAC"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63" w:history="1">
        <w:r w:rsidRPr="0095399A">
          <w:rPr>
            <w:rStyle w:val="Hyperlink"/>
            <w:noProof/>
          </w:rPr>
          <w:t>6.1.</w:t>
        </w:r>
        <w:r>
          <w:rPr>
            <w:rFonts w:asciiTheme="minorHAnsi" w:eastAsiaTheme="minorEastAsia" w:hAnsiTheme="minorHAnsi" w:cstheme="minorBidi"/>
            <w:noProof/>
            <w:kern w:val="2"/>
            <w:sz w:val="24"/>
            <w:szCs w:val="24"/>
            <w14:ligatures w14:val="standardContextual"/>
          </w:rPr>
          <w:tab/>
        </w:r>
        <w:r w:rsidRPr="0095399A">
          <w:rPr>
            <w:rStyle w:val="Hyperlink"/>
            <w:noProof/>
          </w:rPr>
          <w:t>Assess what you have and list what you need</w:t>
        </w:r>
        <w:r>
          <w:rPr>
            <w:noProof/>
            <w:webHidden/>
          </w:rPr>
          <w:tab/>
        </w:r>
        <w:r>
          <w:rPr>
            <w:noProof/>
            <w:webHidden/>
          </w:rPr>
          <w:fldChar w:fldCharType="begin"/>
        </w:r>
        <w:r>
          <w:rPr>
            <w:noProof/>
            <w:webHidden/>
          </w:rPr>
          <w:instrText xml:space="preserve"> PAGEREF _Toc231895163 \h </w:instrText>
        </w:r>
        <w:r>
          <w:rPr>
            <w:noProof/>
            <w:webHidden/>
          </w:rPr>
        </w:r>
        <w:r>
          <w:rPr>
            <w:noProof/>
            <w:webHidden/>
          </w:rPr>
          <w:fldChar w:fldCharType="separate"/>
        </w:r>
        <w:r w:rsidR="00F97260">
          <w:rPr>
            <w:noProof/>
            <w:webHidden/>
          </w:rPr>
          <w:t>32</w:t>
        </w:r>
        <w:r>
          <w:rPr>
            <w:noProof/>
            <w:webHidden/>
          </w:rPr>
          <w:fldChar w:fldCharType="end"/>
        </w:r>
      </w:hyperlink>
    </w:p>
    <w:p w14:paraId="58D44C3F" w14:textId="159A4057"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64" w:history="1">
        <w:r w:rsidRPr="0095399A">
          <w:rPr>
            <w:rStyle w:val="Hyperlink"/>
            <w:noProof/>
          </w:rPr>
          <w:t>6.2.</w:t>
        </w:r>
        <w:r>
          <w:rPr>
            <w:rFonts w:asciiTheme="minorHAnsi" w:eastAsiaTheme="minorEastAsia" w:hAnsiTheme="minorHAnsi" w:cstheme="minorBidi"/>
            <w:noProof/>
            <w:kern w:val="2"/>
            <w:sz w:val="24"/>
            <w:szCs w:val="24"/>
            <w14:ligatures w14:val="standardContextual"/>
          </w:rPr>
          <w:tab/>
        </w:r>
        <w:r w:rsidRPr="0095399A">
          <w:rPr>
            <w:rStyle w:val="Hyperlink"/>
            <w:noProof/>
          </w:rPr>
          <w:t>Preparing for Implementation</w:t>
        </w:r>
        <w:r>
          <w:rPr>
            <w:noProof/>
            <w:webHidden/>
          </w:rPr>
          <w:tab/>
        </w:r>
        <w:r>
          <w:rPr>
            <w:noProof/>
            <w:webHidden/>
          </w:rPr>
          <w:fldChar w:fldCharType="begin"/>
        </w:r>
        <w:r>
          <w:rPr>
            <w:noProof/>
            <w:webHidden/>
          </w:rPr>
          <w:instrText xml:space="preserve"> PAGEREF _Toc231895164 \h </w:instrText>
        </w:r>
        <w:r>
          <w:rPr>
            <w:noProof/>
            <w:webHidden/>
          </w:rPr>
        </w:r>
        <w:r>
          <w:rPr>
            <w:noProof/>
            <w:webHidden/>
          </w:rPr>
          <w:fldChar w:fldCharType="separate"/>
        </w:r>
        <w:r w:rsidR="00F97260">
          <w:rPr>
            <w:noProof/>
            <w:webHidden/>
          </w:rPr>
          <w:t>33</w:t>
        </w:r>
        <w:r>
          <w:rPr>
            <w:noProof/>
            <w:webHidden/>
          </w:rPr>
          <w:fldChar w:fldCharType="end"/>
        </w:r>
      </w:hyperlink>
    </w:p>
    <w:p w14:paraId="02C095EA" w14:textId="77777777" w:rsidR="009F778D" w:rsidRDefault="009F778D">
      <w:pPr>
        <w:spacing w:after="0"/>
        <w:rPr>
          <w:rStyle w:val="Hyperlink"/>
          <w:rFonts w:cstheme="majorHAnsi"/>
          <w:b/>
          <w:bCs/>
          <w:caps/>
          <w:noProof/>
          <w:sz w:val="24"/>
          <w:szCs w:val="24"/>
        </w:rPr>
      </w:pPr>
      <w:r>
        <w:rPr>
          <w:rStyle w:val="Hyperlink"/>
          <w:noProof/>
        </w:rPr>
        <w:br w:type="page"/>
      </w:r>
    </w:p>
    <w:p w14:paraId="637DFD47" w14:textId="5FB3BF31" w:rsidR="009F778D" w:rsidRDefault="009F778D">
      <w:pPr>
        <w:pStyle w:val="TOC1"/>
        <w:tabs>
          <w:tab w:val="right" w:leader="dot" w:pos="9016"/>
        </w:tabs>
        <w:rPr>
          <w:rFonts w:asciiTheme="minorHAnsi" w:eastAsiaTheme="minorEastAsia" w:hAnsiTheme="minorHAnsi" w:cstheme="minorBidi"/>
          <w:b w:val="0"/>
          <w:bCs w:val="0"/>
          <w:caps w:val="0"/>
          <w:noProof/>
          <w:color w:val="auto"/>
          <w:kern w:val="2"/>
          <w14:ligatures w14:val="standardContextual"/>
        </w:rPr>
      </w:pPr>
      <w:hyperlink w:anchor="_Toc231895165" w:history="1">
        <w:r w:rsidRPr="0095399A">
          <w:rPr>
            <w:rStyle w:val="Hyperlink"/>
            <w:noProof/>
          </w:rPr>
          <w:t>PART C</w:t>
        </w:r>
        <w:r>
          <w:rPr>
            <w:noProof/>
            <w:webHidden/>
          </w:rPr>
          <w:tab/>
        </w:r>
        <w:r>
          <w:rPr>
            <w:noProof/>
            <w:webHidden/>
          </w:rPr>
          <w:fldChar w:fldCharType="begin"/>
        </w:r>
        <w:r>
          <w:rPr>
            <w:noProof/>
            <w:webHidden/>
          </w:rPr>
          <w:instrText xml:space="preserve"> PAGEREF _Toc231895165 \h </w:instrText>
        </w:r>
        <w:r>
          <w:rPr>
            <w:noProof/>
            <w:webHidden/>
          </w:rPr>
        </w:r>
        <w:r>
          <w:rPr>
            <w:noProof/>
            <w:webHidden/>
          </w:rPr>
          <w:fldChar w:fldCharType="separate"/>
        </w:r>
        <w:r w:rsidR="00F97260">
          <w:rPr>
            <w:noProof/>
            <w:webHidden/>
          </w:rPr>
          <w:t>34</w:t>
        </w:r>
        <w:r>
          <w:rPr>
            <w:noProof/>
            <w:webHidden/>
          </w:rPr>
          <w:fldChar w:fldCharType="end"/>
        </w:r>
      </w:hyperlink>
    </w:p>
    <w:p w14:paraId="736A7850" w14:textId="4CB3C8EB" w:rsidR="009F778D" w:rsidRDefault="009F778D">
      <w:pPr>
        <w:pStyle w:val="TOC2"/>
        <w:tabs>
          <w:tab w:val="right" w:leader="dot" w:pos="9016"/>
        </w:tabs>
        <w:rPr>
          <w:rFonts w:asciiTheme="minorHAnsi" w:eastAsiaTheme="minorEastAsia" w:hAnsiTheme="minorHAnsi" w:cstheme="minorBidi"/>
          <w:bCs w:val="0"/>
          <w:noProof/>
          <w:color w:val="auto"/>
          <w:kern w:val="2"/>
          <w:sz w:val="24"/>
          <w:szCs w:val="24"/>
          <w14:ligatures w14:val="standardContextual"/>
        </w:rPr>
      </w:pPr>
      <w:hyperlink w:anchor="_Toc231895166" w:history="1">
        <w:r w:rsidRPr="0095399A">
          <w:rPr>
            <w:rStyle w:val="Hyperlink"/>
            <w:noProof/>
          </w:rPr>
          <w:t>UNDERSTANDING THE AUSTRALIAN PRIVACY PRINCIPLES</w:t>
        </w:r>
        <w:r>
          <w:rPr>
            <w:noProof/>
            <w:webHidden/>
          </w:rPr>
          <w:tab/>
        </w:r>
        <w:r>
          <w:rPr>
            <w:noProof/>
            <w:webHidden/>
          </w:rPr>
          <w:fldChar w:fldCharType="begin"/>
        </w:r>
        <w:r>
          <w:rPr>
            <w:noProof/>
            <w:webHidden/>
          </w:rPr>
          <w:instrText xml:space="preserve"> PAGEREF _Toc231895166 \h </w:instrText>
        </w:r>
        <w:r>
          <w:rPr>
            <w:noProof/>
            <w:webHidden/>
          </w:rPr>
        </w:r>
        <w:r>
          <w:rPr>
            <w:noProof/>
            <w:webHidden/>
          </w:rPr>
          <w:fldChar w:fldCharType="separate"/>
        </w:r>
        <w:r w:rsidR="00F97260">
          <w:rPr>
            <w:noProof/>
            <w:webHidden/>
          </w:rPr>
          <w:t>34</w:t>
        </w:r>
        <w:r>
          <w:rPr>
            <w:noProof/>
            <w:webHidden/>
          </w:rPr>
          <w:fldChar w:fldCharType="end"/>
        </w:r>
      </w:hyperlink>
    </w:p>
    <w:p w14:paraId="56968800" w14:textId="4AA4957F" w:rsidR="009F778D" w:rsidRDefault="009F778D">
      <w:pPr>
        <w:pStyle w:val="TOC3"/>
        <w:tabs>
          <w:tab w:val="left" w:pos="1599"/>
        </w:tabs>
        <w:rPr>
          <w:rFonts w:asciiTheme="minorHAnsi" w:eastAsiaTheme="minorEastAsia" w:hAnsiTheme="minorHAnsi" w:cstheme="minorBidi"/>
          <w:noProof/>
          <w:color w:val="auto"/>
          <w:kern w:val="2"/>
          <w:sz w:val="24"/>
          <w:szCs w:val="24"/>
          <w14:ligatures w14:val="standardContextual"/>
        </w:rPr>
      </w:pPr>
      <w:hyperlink w:anchor="_Toc231895167" w:history="1">
        <w:r w:rsidRPr="0095399A">
          <w:rPr>
            <w:rStyle w:val="Hyperlink"/>
            <w:noProof/>
          </w:rPr>
          <w:t>Chapter 7:</w:t>
        </w:r>
        <w:r>
          <w:rPr>
            <w:rFonts w:asciiTheme="minorHAnsi" w:eastAsiaTheme="minorEastAsia" w:hAnsiTheme="minorHAnsi" w:cstheme="minorBidi"/>
            <w:noProof/>
            <w:color w:val="auto"/>
            <w:kern w:val="2"/>
            <w:sz w:val="24"/>
            <w:szCs w:val="24"/>
            <w14:ligatures w14:val="standardContextual"/>
          </w:rPr>
          <w:tab/>
        </w:r>
        <w:r w:rsidRPr="0095399A">
          <w:rPr>
            <w:rStyle w:val="Hyperlink"/>
            <w:noProof/>
          </w:rPr>
          <w:t>Introduction to the APPs</w:t>
        </w:r>
        <w:r>
          <w:rPr>
            <w:noProof/>
            <w:webHidden/>
          </w:rPr>
          <w:tab/>
        </w:r>
        <w:r>
          <w:rPr>
            <w:noProof/>
            <w:webHidden/>
          </w:rPr>
          <w:fldChar w:fldCharType="begin"/>
        </w:r>
        <w:r>
          <w:rPr>
            <w:noProof/>
            <w:webHidden/>
          </w:rPr>
          <w:instrText xml:space="preserve"> PAGEREF _Toc231895167 \h </w:instrText>
        </w:r>
        <w:r>
          <w:rPr>
            <w:noProof/>
            <w:webHidden/>
          </w:rPr>
        </w:r>
        <w:r>
          <w:rPr>
            <w:noProof/>
            <w:webHidden/>
          </w:rPr>
          <w:fldChar w:fldCharType="separate"/>
        </w:r>
        <w:r w:rsidR="00F97260">
          <w:rPr>
            <w:noProof/>
            <w:webHidden/>
          </w:rPr>
          <w:t>34</w:t>
        </w:r>
        <w:r>
          <w:rPr>
            <w:noProof/>
            <w:webHidden/>
          </w:rPr>
          <w:fldChar w:fldCharType="end"/>
        </w:r>
      </w:hyperlink>
    </w:p>
    <w:p w14:paraId="67EC5A6A" w14:textId="77955771"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68" w:history="1">
        <w:r w:rsidRPr="0095399A">
          <w:rPr>
            <w:rStyle w:val="Hyperlink"/>
            <w:noProof/>
          </w:rPr>
          <w:t>7.1.</w:t>
        </w:r>
        <w:r>
          <w:rPr>
            <w:rFonts w:asciiTheme="minorHAnsi" w:eastAsiaTheme="minorEastAsia" w:hAnsiTheme="minorHAnsi" w:cstheme="minorBidi"/>
            <w:noProof/>
            <w:kern w:val="2"/>
            <w:sz w:val="24"/>
            <w:szCs w:val="24"/>
            <w14:ligatures w14:val="standardContextual"/>
          </w:rPr>
          <w:tab/>
        </w:r>
        <w:r w:rsidRPr="0095399A">
          <w:rPr>
            <w:rStyle w:val="Hyperlink"/>
            <w:noProof/>
          </w:rPr>
          <w:t>What Are the APPs?</w:t>
        </w:r>
        <w:r>
          <w:rPr>
            <w:noProof/>
            <w:webHidden/>
          </w:rPr>
          <w:tab/>
        </w:r>
        <w:r>
          <w:rPr>
            <w:noProof/>
            <w:webHidden/>
          </w:rPr>
          <w:fldChar w:fldCharType="begin"/>
        </w:r>
        <w:r>
          <w:rPr>
            <w:noProof/>
            <w:webHidden/>
          </w:rPr>
          <w:instrText xml:space="preserve"> PAGEREF _Toc231895168 \h </w:instrText>
        </w:r>
        <w:r>
          <w:rPr>
            <w:noProof/>
            <w:webHidden/>
          </w:rPr>
        </w:r>
        <w:r>
          <w:rPr>
            <w:noProof/>
            <w:webHidden/>
          </w:rPr>
          <w:fldChar w:fldCharType="separate"/>
        </w:r>
        <w:r w:rsidR="00F97260">
          <w:rPr>
            <w:noProof/>
            <w:webHidden/>
          </w:rPr>
          <w:t>34</w:t>
        </w:r>
        <w:r>
          <w:rPr>
            <w:noProof/>
            <w:webHidden/>
          </w:rPr>
          <w:fldChar w:fldCharType="end"/>
        </w:r>
      </w:hyperlink>
    </w:p>
    <w:p w14:paraId="71557C5B" w14:textId="716BD9B5"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69" w:history="1">
        <w:r w:rsidRPr="0095399A">
          <w:rPr>
            <w:rStyle w:val="Hyperlink"/>
            <w:noProof/>
          </w:rPr>
          <w:t>7.2.</w:t>
        </w:r>
        <w:r>
          <w:rPr>
            <w:rFonts w:asciiTheme="minorHAnsi" w:eastAsiaTheme="minorEastAsia" w:hAnsiTheme="minorHAnsi" w:cstheme="minorBidi"/>
            <w:noProof/>
            <w:kern w:val="2"/>
            <w:sz w:val="24"/>
            <w:szCs w:val="24"/>
            <w14:ligatures w14:val="standardContextual"/>
          </w:rPr>
          <w:tab/>
        </w:r>
        <w:r w:rsidRPr="0095399A">
          <w:rPr>
            <w:rStyle w:val="Hyperlink"/>
            <w:noProof/>
          </w:rPr>
          <w:t>Structure and Overview of the 13 APPs</w:t>
        </w:r>
        <w:r>
          <w:rPr>
            <w:noProof/>
            <w:webHidden/>
          </w:rPr>
          <w:tab/>
        </w:r>
        <w:r>
          <w:rPr>
            <w:noProof/>
            <w:webHidden/>
          </w:rPr>
          <w:fldChar w:fldCharType="begin"/>
        </w:r>
        <w:r>
          <w:rPr>
            <w:noProof/>
            <w:webHidden/>
          </w:rPr>
          <w:instrText xml:space="preserve"> PAGEREF _Toc231895169 \h </w:instrText>
        </w:r>
        <w:r>
          <w:rPr>
            <w:noProof/>
            <w:webHidden/>
          </w:rPr>
        </w:r>
        <w:r>
          <w:rPr>
            <w:noProof/>
            <w:webHidden/>
          </w:rPr>
          <w:fldChar w:fldCharType="separate"/>
        </w:r>
        <w:r w:rsidR="00F97260">
          <w:rPr>
            <w:noProof/>
            <w:webHidden/>
          </w:rPr>
          <w:t>34</w:t>
        </w:r>
        <w:r>
          <w:rPr>
            <w:noProof/>
            <w:webHidden/>
          </w:rPr>
          <w:fldChar w:fldCharType="end"/>
        </w:r>
      </w:hyperlink>
    </w:p>
    <w:p w14:paraId="7790A5D1" w14:textId="7F7261A5"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70" w:history="1">
        <w:r w:rsidRPr="0095399A">
          <w:rPr>
            <w:rStyle w:val="Hyperlink"/>
            <w:noProof/>
          </w:rPr>
          <w:t>7.3.</w:t>
        </w:r>
        <w:r>
          <w:rPr>
            <w:rFonts w:asciiTheme="minorHAnsi" w:eastAsiaTheme="minorEastAsia" w:hAnsiTheme="minorHAnsi" w:cstheme="minorBidi"/>
            <w:noProof/>
            <w:kern w:val="2"/>
            <w:sz w:val="24"/>
            <w:szCs w:val="24"/>
            <w14:ligatures w14:val="standardContextual"/>
          </w:rPr>
          <w:tab/>
        </w:r>
        <w:r w:rsidRPr="0095399A">
          <w:rPr>
            <w:rStyle w:val="Hyperlink"/>
            <w:noProof/>
          </w:rPr>
          <w:t>Key Definitions</w:t>
        </w:r>
        <w:r>
          <w:rPr>
            <w:noProof/>
            <w:webHidden/>
          </w:rPr>
          <w:tab/>
        </w:r>
        <w:r>
          <w:rPr>
            <w:noProof/>
            <w:webHidden/>
          </w:rPr>
          <w:fldChar w:fldCharType="begin"/>
        </w:r>
        <w:r>
          <w:rPr>
            <w:noProof/>
            <w:webHidden/>
          </w:rPr>
          <w:instrText xml:space="preserve"> PAGEREF _Toc231895170 \h </w:instrText>
        </w:r>
        <w:r>
          <w:rPr>
            <w:noProof/>
            <w:webHidden/>
          </w:rPr>
        </w:r>
        <w:r>
          <w:rPr>
            <w:noProof/>
            <w:webHidden/>
          </w:rPr>
          <w:fldChar w:fldCharType="separate"/>
        </w:r>
        <w:r w:rsidR="00F97260">
          <w:rPr>
            <w:noProof/>
            <w:webHidden/>
          </w:rPr>
          <w:t>35</w:t>
        </w:r>
        <w:r>
          <w:rPr>
            <w:noProof/>
            <w:webHidden/>
          </w:rPr>
          <w:fldChar w:fldCharType="end"/>
        </w:r>
      </w:hyperlink>
    </w:p>
    <w:p w14:paraId="03363F63" w14:textId="70C5CFAB"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71" w:history="1">
        <w:r w:rsidRPr="0095399A">
          <w:rPr>
            <w:rStyle w:val="Hyperlink"/>
            <w:noProof/>
          </w:rPr>
          <w:t>7.4.</w:t>
        </w:r>
        <w:r>
          <w:rPr>
            <w:rFonts w:asciiTheme="minorHAnsi" w:eastAsiaTheme="minorEastAsia" w:hAnsiTheme="minorHAnsi" w:cstheme="minorBidi"/>
            <w:noProof/>
            <w:kern w:val="2"/>
            <w:sz w:val="24"/>
            <w:szCs w:val="24"/>
            <w14:ligatures w14:val="standardContextual"/>
          </w:rPr>
          <w:tab/>
        </w:r>
        <w:r w:rsidRPr="0095399A">
          <w:rPr>
            <w:rStyle w:val="Hyperlink"/>
            <w:noProof/>
          </w:rPr>
          <w:t>The 'Reasonable Steps' Standard</w:t>
        </w:r>
        <w:r>
          <w:rPr>
            <w:noProof/>
            <w:webHidden/>
          </w:rPr>
          <w:tab/>
        </w:r>
        <w:r>
          <w:rPr>
            <w:noProof/>
            <w:webHidden/>
          </w:rPr>
          <w:fldChar w:fldCharType="begin"/>
        </w:r>
        <w:r>
          <w:rPr>
            <w:noProof/>
            <w:webHidden/>
          </w:rPr>
          <w:instrText xml:space="preserve"> PAGEREF _Toc231895171 \h </w:instrText>
        </w:r>
        <w:r>
          <w:rPr>
            <w:noProof/>
            <w:webHidden/>
          </w:rPr>
        </w:r>
        <w:r>
          <w:rPr>
            <w:noProof/>
            <w:webHidden/>
          </w:rPr>
          <w:fldChar w:fldCharType="separate"/>
        </w:r>
        <w:r w:rsidR="00F97260">
          <w:rPr>
            <w:noProof/>
            <w:webHidden/>
          </w:rPr>
          <w:t>36</w:t>
        </w:r>
        <w:r>
          <w:rPr>
            <w:noProof/>
            <w:webHidden/>
          </w:rPr>
          <w:fldChar w:fldCharType="end"/>
        </w:r>
      </w:hyperlink>
    </w:p>
    <w:p w14:paraId="532A6133" w14:textId="38D6168E" w:rsidR="009F778D" w:rsidRDefault="009F778D">
      <w:pPr>
        <w:pStyle w:val="TOC3"/>
        <w:tabs>
          <w:tab w:val="left" w:pos="1599"/>
        </w:tabs>
        <w:rPr>
          <w:rFonts w:asciiTheme="minorHAnsi" w:eastAsiaTheme="minorEastAsia" w:hAnsiTheme="minorHAnsi" w:cstheme="minorBidi"/>
          <w:noProof/>
          <w:color w:val="auto"/>
          <w:kern w:val="2"/>
          <w:sz w:val="24"/>
          <w:szCs w:val="24"/>
          <w14:ligatures w14:val="standardContextual"/>
        </w:rPr>
      </w:pPr>
      <w:hyperlink w:anchor="_Toc231895172" w:history="1">
        <w:r w:rsidRPr="0095399A">
          <w:rPr>
            <w:rStyle w:val="Hyperlink"/>
            <w:noProof/>
          </w:rPr>
          <w:t>Chapter 8:</w:t>
        </w:r>
        <w:r>
          <w:rPr>
            <w:rFonts w:asciiTheme="minorHAnsi" w:eastAsiaTheme="minorEastAsia" w:hAnsiTheme="minorHAnsi" w:cstheme="minorBidi"/>
            <w:noProof/>
            <w:color w:val="auto"/>
            <w:kern w:val="2"/>
            <w:sz w:val="24"/>
            <w:szCs w:val="24"/>
            <w14:ligatures w14:val="standardContextual"/>
          </w:rPr>
          <w:tab/>
        </w:r>
        <w:r w:rsidRPr="0095399A">
          <w:rPr>
            <w:rStyle w:val="Hyperlink"/>
            <w:noProof/>
          </w:rPr>
          <w:t>APPs Most Relevant to Law Firms</w:t>
        </w:r>
        <w:r>
          <w:rPr>
            <w:noProof/>
            <w:webHidden/>
          </w:rPr>
          <w:tab/>
        </w:r>
        <w:r>
          <w:rPr>
            <w:noProof/>
            <w:webHidden/>
          </w:rPr>
          <w:fldChar w:fldCharType="begin"/>
        </w:r>
        <w:r>
          <w:rPr>
            <w:noProof/>
            <w:webHidden/>
          </w:rPr>
          <w:instrText xml:space="preserve"> PAGEREF _Toc231895172 \h </w:instrText>
        </w:r>
        <w:r>
          <w:rPr>
            <w:noProof/>
            <w:webHidden/>
          </w:rPr>
        </w:r>
        <w:r>
          <w:rPr>
            <w:noProof/>
            <w:webHidden/>
          </w:rPr>
          <w:fldChar w:fldCharType="separate"/>
        </w:r>
        <w:r w:rsidR="00F97260">
          <w:rPr>
            <w:noProof/>
            <w:webHidden/>
          </w:rPr>
          <w:t>38</w:t>
        </w:r>
        <w:r>
          <w:rPr>
            <w:noProof/>
            <w:webHidden/>
          </w:rPr>
          <w:fldChar w:fldCharType="end"/>
        </w:r>
      </w:hyperlink>
    </w:p>
    <w:p w14:paraId="1BDFD020" w14:textId="1DA20296"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73" w:history="1">
        <w:r w:rsidRPr="0095399A">
          <w:rPr>
            <w:rStyle w:val="Hyperlink"/>
            <w:noProof/>
          </w:rPr>
          <w:t>8.1.</w:t>
        </w:r>
        <w:r>
          <w:rPr>
            <w:rFonts w:asciiTheme="minorHAnsi" w:eastAsiaTheme="minorEastAsia" w:hAnsiTheme="minorHAnsi" w:cstheme="minorBidi"/>
            <w:noProof/>
            <w:kern w:val="2"/>
            <w:sz w:val="24"/>
            <w:szCs w:val="24"/>
            <w14:ligatures w14:val="standardContextual"/>
          </w:rPr>
          <w:tab/>
        </w:r>
        <w:r w:rsidRPr="0095399A">
          <w:rPr>
            <w:rStyle w:val="Hyperlink"/>
            <w:noProof/>
          </w:rPr>
          <w:t>APP 1 — Open and Transparent Management</w:t>
        </w:r>
        <w:r>
          <w:rPr>
            <w:noProof/>
            <w:webHidden/>
          </w:rPr>
          <w:tab/>
        </w:r>
        <w:r>
          <w:rPr>
            <w:noProof/>
            <w:webHidden/>
          </w:rPr>
          <w:fldChar w:fldCharType="begin"/>
        </w:r>
        <w:r>
          <w:rPr>
            <w:noProof/>
            <w:webHidden/>
          </w:rPr>
          <w:instrText xml:space="preserve"> PAGEREF _Toc231895173 \h </w:instrText>
        </w:r>
        <w:r>
          <w:rPr>
            <w:noProof/>
            <w:webHidden/>
          </w:rPr>
        </w:r>
        <w:r>
          <w:rPr>
            <w:noProof/>
            <w:webHidden/>
          </w:rPr>
          <w:fldChar w:fldCharType="separate"/>
        </w:r>
        <w:r w:rsidR="00F97260">
          <w:rPr>
            <w:noProof/>
            <w:webHidden/>
          </w:rPr>
          <w:t>38</w:t>
        </w:r>
        <w:r>
          <w:rPr>
            <w:noProof/>
            <w:webHidden/>
          </w:rPr>
          <w:fldChar w:fldCharType="end"/>
        </w:r>
      </w:hyperlink>
    </w:p>
    <w:p w14:paraId="744029FF" w14:textId="0E631A9D"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74" w:history="1">
        <w:r w:rsidRPr="0095399A">
          <w:rPr>
            <w:rStyle w:val="Hyperlink"/>
            <w:noProof/>
          </w:rPr>
          <w:t>8.2.</w:t>
        </w:r>
        <w:r>
          <w:rPr>
            <w:rFonts w:asciiTheme="minorHAnsi" w:eastAsiaTheme="minorEastAsia" w:hAnsiTheme="minorHAnsi" w:cstheme="minorBidi"/>
            <w:noProof/>
            <w:kern w:val="2"/>
            <w:sz w:val="24"/>
            <w:szCs w:val="24"/>
            <w14:ligatures w14:val="standardContextual"/>
          </w:rPr>
          <w:tab/>
        </w:r>
        <w:r w:rsidRPr="0095399A">
          <w:rPr>
            <w:rStyle w:val="Hyperlink"/>
            <w:noProof/>
          </w:rPr>
          <w:t>APP 3 — Collection of “Solicited Personal Information”</w:t>
        </w:r>
        <w:r>
          <w:rPr>
            <w:noProof/>
            <w:webHidden/>
          </w:rPr>
          <w:tab/>
        </w:r>
        <w:r>
          <w:rPr>
            <w:noProof/>
            <w:webHidden/>
          </w:rPr>
          <w:fldChar w:fldCharType="begin"/>
        </w:r>
        <w:r>
          <w:rPr>
            <w:noProof/>
            <w:webHidden/>
          </w:rPr>
          <w:instrText xml:space="preserve"> PAGEREF _Toc231895174 \h </w:instrText>
        </w:r>
        <w:r>
          <w:rPr>
            <w:noProof/>
            <w:webHidden/>
          </w:rPr>
        </w:r>
        <w:r>
          <w:rPr>
            <w:noProof/>
            <w:webHidden/>
          </w:rPr>
          <w:fldChar w:fldCharType="separate"/>
        </w:r>
        <w:r w:rsidR="00F97260">
          <w:rPr>
            <w:noProof/>
            <w:webHidden/>
          </w:rPr>
          <w:t>38</w:t>
        </w:r>
        <w:r>
          <w:rPr>
            <w:noProof/>
            <w:webHidden/>
          </w:rPr>
          <w:fldChar w:fldCharType="end"/>
        </w:r>
      </w:hyperlink>
    </w:p>
    <w:p w14:paraId="5C981BB0" w14:textId="3345F681"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75" w:history="1">
        <w:r w:rsidRPr="0095399A">
          <w:rPr>
            <w:rStyle w:val="Hyperlink"/>
            <w:noProof/>
          </w:rPr>
          <w:t>8.3.</w:t>
        </w:r>
        <w:r>
          <w:rPr>
            <w:rFonts w:asciiTheme="minorHAnsi" w:eastAsiaTheme="minorEastAsia" w:hAnsiTheme="minorHAnsi" w:cstheme="minorBidi"/>
            <w:noProof/>
            <w:kern w:val="2"/>
            <w:sz w:val="24"/>
            <w:szCs w:val="24"/>
            <w14:ligatures w14:val="standardContextual"/>
          </w:rPr>
          <w:tab/>
        </w:r>
        <w:r w:rsidRPr="0095399A">
          <w:rPr>
            <w:rStyle w:val="Hyperlink"/>
            <w:noProof/>
          </w:rPr>
          <w:t>APP 5 — Notification of Collection</w:t>
        </w:r>
        <w:r>
          <w:rPr>
            <w:noProof/>
            <w:webHidden/>
          </w:rPr>
          <w:tab/>
        </w:r>
        <w:r>
          <w:rPr>
            <w:noProof/>
            <w:webHidden/>
          </w:rPr>
          <w:fldChar w:fldCharType="begin"/>
        </w:r>
        <w:r>
          <w:rPr>
            <w:noProof/>
            <w:webHidden/>
          </w:rPr>
          <w:instrText xml:space="preserve"> PAGEREF _Toc231895175 \h </w:instrText>
        </w:r>
        <w:r>
          <w:rPr>
            <w:noProof/>
            <w:webHidden/>
          </w:rPr>
        </w:r>
        <w:r>
          <w:rPr>
            <w:noProof/>
            <w:webHidden/>
          </w:rPr>
          <w:fldChar w:fldCharType="separate"/>
        </w:r>
        <w:r w:rsidR="00F97260">
          <w:rPr>
            <w:noProof/>
            <w:webHidden/>
          </w:rPr>
          <w:t>40</w:t>
        </w:r>
        <w:r>
          <w:rPr>
            <w:noProof/>
            <w:webHidden/>
          </w:rPr>
          <w:fldChar w:fldCharType="end"/>
        </w:r>
      </w:hyperlink>
    </w:p>
    <w:p w14:paraId="526B191C" w14:textId="2F3E66CE"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76" w:history="1">
        <w:r w:rsidRPr="0095399A">
          <w:rPr>
            <w:rStyle w:val="Hyperlink"/>
            <w:noProof/>
          </w:rPr>
          <w:t>8.4.</w:t>
        </w:r>
        <w:r>
          <w:rPr>
            <w:rFonts w:asciiTheme="minorHAnsi" w:eastAsiaTheme="minorEastAsia" w:hAnsiTheme="minorHAnsi" w:cstheme="minorBidi"/>
            <w:noProof/>
            <w:kern w:val="2"/>
            <w:sz w:val="24"/>
            <w:szCs w:val="24"/>
            <w14:ligatures w14:val="standardContextual"/>
          </w:rPr>
          <w:tab/>
        </w:r>
        <w:r w:rsidRPr="0095399A">
          <w:rPr>
            <w:rStyle w:val="Hyperlink"/>
            <w:noProof/>
          </w:rPr>
          <w:t>APP 6 — Use and Disclosure</w:t>
        </w:r>
        <w:r>
          <w:rPr>
            <w:noProof/>
            <w:webHidden/>
          </w:rPr>
          <w:tab/>
        </w:r>
        <w:r>
          <w:rPr>
            <w:noProof/>
            <w:webHidden/>
          </w:rPr>
          <w:fldChar w:fldCharType="begin"/>
        </w:r>
        <w:r>
          <w:rPr>
            <w:noProof/>
            <w:webHidden/>
          </w:rPr>
          <w:instrText xml:space="preserve"> PAGEREF _Toc231895176 \h </w:instrText>
        </w:r>
        <w:r>
          <w:rPr>
            <w:noProof/>
            <w:webHidden/>
          </w:rPr>
        </w:r>
        <w:r>
          <w:rPr>
            <w:noProof/>
            <w:webHidden/>
          </w:rPr>
          <w:fldChar w:fldCharType="separate"/>
        </w:r>
        <w:r w:rsidR="00F97260">
          <w:rPr>
            <w:noProof/>
            <w:webHidden/>
          </w:rPr>
          <w:t>40</w:t>
        </w:r>
        <w:r>
          <w:rPr>
            <w:noProof/>
            <w:webHidden/>
          </w:rPr>
          <w:fldChar w:fldCharType="end"/>
        </w:r>
      </w:hyperlink>
    </w:p>
    <w:p w14:paraId="71AF2FC5" w14:textId="39573B86"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77" w:history="1">
        <w:r w:rsidRPr="0095399A">
          <w:rPr>
            <w:rStyle w:val="Hyperlink"/>
            <w:noProof/>
          </w:rPr>
          <w:t>8.5.</w:t>
        </w:r>
        <w:r>
          <w:rPr>
            <w:rFonts w:asciiTheme="minorHAnsi" w:eastAsiaTheme="minorEastAsia" w:hAnsiTheme="minorHAnsi" w:cstheme="minorBidi"/>
            <w:noProof/>
            <w:kern w:val="2"/>
            <w:sz w:val="24"/>
            <w:szCs w:val="24"/>
            <w14:ligatures w14:val="standardContextual"/>
          </w:rPr>
          <w:tab/>
        </w:r>
        <w:r w:rsidRPr="0095399A">
          <w:rPr>
            <w:rStyle w:val="Hyperlink"/>
            <w:noProof/>
          </w:rPr>
          <w:t>APP 11 — Security of Personal Information</w:t>
        </w:r>
        <w:r>
          <w:rPr>
            <w:noProof/>
            <w:webHidden/>
          </w:rPr>
          <w:tab/>
        </w:r>
        <w:r>
          <w:rPr>
            <w:noProof/>
            <w:webHidden/>
          </w:rPr>
          <w:fldChar w:fldCharType="begin"/>
        </w:r>
        <w:r>
          <w:rPr>
            <w:noProof/>
            <w:webHidden/>
          </w:rPr>
          <w:instrText xml:space="preserve"> PAGEREF _Toc231895177 \h </w:instrText>
        </w:r>
        <w:r>
          <w:rPr>
            <w:noProof/>
            <w:webHidden/>
          </w:rPr>
        </w:r>
        <w:r>
          <w:rPr>
            <w:noProof/>
            <w:webHidden/>
          </w:rPr>
          <w:fldChar w:fldCharType="separate"/>
        </w:r>
        <w:r w:rsidR="00F97260">
          <w:rPr>
            <w:noProof/>
            <w:webHidden/>
          </w:rPr>
          <w:t>41</w:t>
        </w:r>
        <w:r>
          <w:rPr>
            <w:noProof/>
            <w:webHidden/>
          </w:rPr>
          <w:fldChar w:fldCharType="end"/>
        </w:r>
      </w:hyperlink>
    </w:p>
    <w:p w14:paraId="68C88848" w14:textId="474CED75"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78" w:history="1">
        <w:r w:rsidRPr="0095399A">
          <w:rPr>
            <w:rStyle w:val="Hyperlink"/>
            <w:noProof/>
          </w:rPr>
          <w:t>8.6.</w:t>
        </w:r>
        <w:r>
          <w:rPr>
            <w:rFonts w:asciiTheme="minorHAnsi" w:eastAsiaTheme="minorEastAsia" w:hAnsiTheme="minorHAnsi" w:cstheme="minorBidi"/>
            <w:noProof/>
            <w:kern w:val="2"/>
            <w:sz w:val="24"/>
            <w:szCs w:val="24"/>
            <w14:ligatures w14:val="standardContextual"/>
          </w:rPr>
          <w:tab/>
        </w:r>
        <w:r w:rsidRPr="0095399A">
          <w:rPr>
            <w:rStyle w:val="Hyperlink"/>
            <w:noProof/>
          </w:rPr>
          <w:t>APPs 12-13 — Access and Correction</w:t>
        </w:r>
        <w:r>
          <w:rPr>
            <w:noProof/>
            <w:webHidden/>
          </w:rPr>
          <w:tab/>
        </w:r>
        <w:r>
          <w:rPr>
            <w:noProof/>
            <w:webHidden/>
          </w:rPr>
          <w:fldChar w:fldCharType="begin"/>
        </w:r>
        <w:r>
          <w:rPr>
            <w:noProof/>
            <w:webHidden/>
          </w:rPr>
          <w:instrText xml:space="preserve"> PAGEREF _Toc231895178 \h </w:instrText>
        </w:r>
        <w:r>
          <w:rPr>
            <w:noProof/>
            <w:webHidden/>
          </w:rPr>
        </w:r>
        <w:r>
          <w:rPr>
            <w:noProof/>
            <w:webHidden/>
          </w:rPr>
          <w:fldChar w:fldCharType="separate"/>
        </w:r>
        <w:r w:rsidR="00F97260">
          <w:rPr>
            <w:noProof/>
            <w:webHidden/>
          </w:rPr>
          <w:t>43</w:t>
        </w:r>
        <w:r>
          <w:rPr>
            <w:noProof/>
            <w:webHidden/>
          </w:rPr>
          <w:fldChar w:fldCharType="end"/>
        </w:r>
      </w:hyperlink>
    </w:p>
    <w:p w14:paraId="70212BC3" w14:textId="12AC9E05" w:rsidR="009F778D" w:rsidRDefault="009F778D">
      <w:pPr>
        <w:pStyle w:val="TOC3"/>
        <w:tabs>
          <w:tab w:val="left" w:pos="1599"/>
        </w:tabs>
        <w:rPr>
          <w:rFonts w:asciiTheme="minorHAnsi" w:eastAsiaTheme="minorEastAsia" w:hAnsiTheme="minorHAnsi" w:cstheme="minorBidi"/>
          <w:noProof/>
          <w:color w:val="auto"/>
          <w:kern w:val="2"/>
          <w:sz w:val="24"/>
          <w:szCs w:val="24"/>
          <w14:ligatures w14:val="standardContextual"/>
        </w:rPr>
      </w:pPr>
      <w:hyperlink w:anchor="_Toc231895179" w:history="1">
        <w:r w:rsidRPr="0095399A">
          <w:rPr>
            <w:rStyle w:val="Hyperlink"/>
            <w:noProof/>
          </w:rPr>
          <w:t>Chapter 9:</w:t>
        </w:r>
        <w:r>
          <w:rPr>
            <w:rFonts w:asciiTheme="minorHAnsi" w:eastAsiaTheme="minorEastAsia" w:hAnsiTheme="minorHAnsi" w:cstheme="minorBidi"/>
            <w:noProof/>
            <w:color w:val="auto"/>
            <w:kern w:val="2"/>
            <w:sz w:val="24"/>
            <w:szCs w:val="24"/>
            <w14:ligatures w14:val="standardContextual"/>
          </w:rPr>
          <w:tab/>
        </w:r>
        <w:r w:rsidRPr="0095399A">
          <w:rPr>
            <w:rStyle w:val="Hyperlink"/>
            <w:noProof/>
          </w:rPr>
          <w:t>Integrating Privacy and AML/CTF Compliance</w:t>
        </w:r>
        <w:r>
          <w:rPr>
            <w:noProof/>
            <w:webHidden/>
          </w:rPr>
          <w:tab/>
        </w:r>
        <w:r>
          <w:rPr>
            <w:noProof/>
            <w:webHidden/>
          </w:rPr>
          <w:fldChar w:fldCharType="begin"/>
        </w:r>
        <w:r>
          <w:rPr>
            <w:noProof/>
            <w:webHidden/>
          </w:rPr>
          <w:instrText xml:space="preserve"> PAGEREF _Toc231895179 \h </w:instrText>
        </w:r>
        <w:r>
          <w:rPr>
            <w:noProof/>
            <w:webHidden/>
          </w:rPr>
        </w:r>
        <w:r>
          <w:rPr>
            <w:noProof/>
            <w:webHidden/>
          </w:rPr>
          <w:fldChar w:fldCharType="separate"/>
        </w:r>
        <w:r w:rsidR="00F97260">
          <w:rPr>
            <w:noProof/>
            <w:webHidden/>
          </w:rPr>
          <w:t>45</w:t>
        </w:r>
        <w:r>
          <w:rPr>
            <w:noProof/>
            <w:webHidden/>
          </w:rPr>
          <w:fldChar w:fldCharType="end"/>
        </w:r>
      </w:hyperlink>
    </w:p>
    <w:p w14:paraId="4398D079" w14:textId="6D3D4142"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80" w:history="1">
        <w:r w:rsidRPr="0095399A">
          <w:rPr>
            <w:rStyle w:val="Hyperlink"/>
            <w:noProof/>
          </w:rPr>
          <w:t>9.1.</w:t>
        </w:r>
        <w:r>
          <w:rPr>
            <w:rFonts w:asciiTheme="minorHAnsi" w:eastAsiaTheme="minorEastAsia" w:hAnsiTheme="minorHAnsi" w:cstheme="minorBidi"/>
            <w:noProof/>
            <w:kern w:val="2"/>
            <w:sz w:val="24"/>
            <w:szCs w:val="24"/>
            <w14:ligatures w14:val="standardContextual"/>
          </w:rPr>
          <w:tab/>
        </w:r>
        <w:r w:rsidRPr="0095399A">
          <w:rPr>
            <w:rStyle w:val="Hyperlink"/>
            <w:noProof/>
          </w:rPr>
          <w:t>The AML/CTF Trigger for Privacy Obligations</w:t>
        </w:r>
        <w:r>
          <w:rPr>
            <w:noProof/>
            <w:webHidden/>
          </w:rPr>
          <w:tab/>
        </w:r>
        <w:r>
          <w:rPr>
            <w:noProof/>
            <w:webHidden/>
          </w:rPr>
          <w:fldChar w:fldCharType="begin"/>
        </w:r>
        <w:r>
          <w:rPr>
            <w:noProof/>
            <w:webHidden/>
          </w:rPr>
          <w:instrText xml:space="preserve"> PAGEREF _Toc231895180 \h </w:instrText>
        </w:r>
        <w:r>
          <w:rPr>
            <w:noProof/>
            <w:webHidden/>
          </w:rPr>
        </w:r>
        <w:r>
          <w:rPr>
            <w:noProof/>
            <w:webHidden/>
          </w:rPr>
          <w:fldChar w:fldCharType="separate"/>
        </w:r>
        <w:r w:rsidR="00F97260">
          <w:rPr>
            <w:noProof/>
            <w:webHidden/>
          </w:rPr>
          <w:t>45</w:t>
        </w:r>
        <w:r>
          <w:rPr>
            <w:noProof/>
            <w:webHidden/>
          </w:rPr>
          <w:fldChar w:fldCharType="end"/>
        </w:r>
      </w:hyperlink>
    </w:p>
    <w:p w14:paraId="58829CE1" w14:textId="50B71F69"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81" w:history="1">
        <w:r w:rsidRPr="0095399A">
          <w:rPr>
            <w:rStyle w:val="Hyperlink"/>
            <w:noProof/>
          </w:rPr>
          <w:t>9.2.</w:t>
        </w:r>
        <w:r>
          <w:rPr>
            <w:rFonts w:asciiTheme="minorHAnsi" w:eastAsiaTheme="minorEastAsia" w:hAnsiTheme="minorHAnsi" w:cstheme="minorBidi"/>
            <w:noProof/>
            <w:kern w:val="2"/>
            <w:sz w:val="24"/>
            <w:szCs w:val="24"/>
            <w14:ligatures w14:val="standardContextual"/>
          </w:rPr>
          <w:tab/>
        </w:r>
        <w:r w:rsidRPr="0095399A">
          <w:rPr>
            <w:rStyle w:val="Hyperlink"/>
            <w:noProof/>
          </w:rPr>
          <w:t>The Privacy/AML/CTF Information Lifecycle</w:t>
        </w:r>
        <w:r>
          <w:rPr>
            <w:noProof/>
            <w:webHidden/>
          </w:rPr>
          <w:tab/>
        </w:r>
        <w:r>
          <w:rPr>
            <w:noProof/>
            <w:webHidden/>
          </w:rPr>
          <w:fldChar w:fldCharType="begin"/>
        </w:r>
        <w:r>
          <w:rPr>
            <w:noProof/>
            <w:webHidden/>
          </w:rPr>
          <w:instrText xml:space="preserve"> PAGEREF _Toc231895181 \h </w:instrText>
        </w:r>
        <w:r>
          <w:rPr>
            <w:noProof/>
            <w:webHidden/>
          </w:rPr>
        </w:r>
        <w:r>
          <w:rPr>
            <w:noProof/>
            <w:webHidden/>
          </w:rPr>
          <w:fldChar w:fldCharType="separate"/>
        </w:r>
        <w:r w:rsidR="00F97260">
          <w:rPr>
            <w:noProof/>
            <w:webHidden/>
          </w:rPr>
          <w:t>45</w:t>
        </w:r>
        <w:r>
          <w:rPr>
            <w:noProof/>
            <w:webHidden/>
          </w:rPr>
          <w:fldChar w:fldCharType="end"/>
        </w:r>
      </w:hyperlink>
    </w:p>
    <w:p w14:paraId="25C9454C" w14:textId="642F3ACC"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82" w:history="1">
        <w:r w:rsidRPr="0095399A">
          <w:rPr>
            <w:rStyle w:val="Hyperlink"/>
            <w:noProof/>
          </w:rPr>
          <w:t>9.3.</w:t>
        </w:r>
        <w:r>
          <w:rPr>
            <w:rFonts w:asciiTheme="minorHAnsi" w:eastAsiaTheme="minorEastAsia" w:hAnsiTheme="minorHAnsi" w:cstheme="minorBidi"/>
            <w:noProof/>
            <w:kern w:val="2"/>
            <w:sz w:val="24"/>
            <w:szCs w:val="24"/>
            <w14:ligatures w14:val="standardContextual"/>
          </w:rPr>
          <w:tab/>
        </w:r>
        <w:r w:rsidRPr="0095399A">
          <w:rPr>
            <w:rStyle w:val="Hyperlink"/>
            <w:noProof/>
          </w:rPr>
          <w:t>Customer Due Diligence and Privacy</w:t>
        </w:r>
        <w:r>
          <w:rPr>
            <w:noProof/>
            <w:webHidden/>
          </w:rPr>
          <w:tab/>
        </w:r>
        <w:r>
          <w:rPr>
            <w:noProof/>
            <w:webHidden/>
          </w:rPr>
          <w:fldChar w:fldCharType="begin"/>
        </w:r>
        <w:r>
          <w:rPr>
            <w:noProof/>
            <w:webHidden/>
          </w:rPr>
          <w:instrText xml:space="preserve"> PAGEREF _Toc231895182 \h </w:instrText>
        </w:r>
        <w:r>
          <w:rPr>
            <w:noProof/>
            <w:webHidden/>
          </w:rPr>
        </w:r>
        <w:r>
          <w:rPr>
            <w:noProof/>
            <w:webHidden/>
          </w:rPr>
          <w:fldChar w:fldCharType="separate"/>
        </w:r>
        <w:r w:rsidR="00F97260">
          <w:rPr>
            <w:noProof/>
            <w:webHidden/>
          </w:rPr>
          <w:t>46</w:t>
        </w:r>
        <w:r>
          <w:rPr>
            <w:noProof/>
            <w:webHidden/>
          </w:rPr>
          <w:fldChar w:fldCharType="end"/>
        </w:r>
      </w:hyperlink>
    </w:p>
    <w:p w14:paraId="35743B1E" w14:textId="3A49733B"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83" w:history="1">
        <w:r w:rsidRPr="0095399A">
          <w:rPr>
            <w:rStyle w:val="Hyperlink"/>
            <w:noProof/>
          </w:rPr>
          <w:t>9.4.</w:t>
        </w:r>
        <w:r>
          <w:rPr>
            <w:rFonts w:asciiTheme="minorHAnsi" w:eastAsiaTheme="minorEastAsia" w:hAnsiTheme="minorHAnsi" w:cstheme="minorBidi"/>
            <w:noProof/>
            <w:kern w:val="2"/>
            <w:sz w:val="24"/>
            <w:szCs w:val="24"/>
            <w14:ligatures w14:val="standardContextual"/>
          </w:rPr>
          <w:tab/>
        </w:r>
        <w:r w:rsidRPr="0095399A">
          <w:rPr>
            <w:rStyle w:val="Hyperlink"/>
            <w:noProof/>
          </w:rPr>
          <w:t>Beneficial Ownership Information</w:t>
        </w:r>
        <w:r>
          <w:rPr>
            <w:noProof/>
            <w:webHidden/>
          </w:rPr>
          <w:tab/>
        </w:r>
        <w:r>
          <w:rPr>
            <w:noProof/>
            <w:webHidden/>
          </w:rPr>
          <w:fldChar w:fldCharType="begin"/>
        </w:r>
        <w:r>
          <w:rPr>
            <w:noProof/>
            <w:webHidden/>
          </w:rPr>
          <w:instrText xml:space="preserve"> PAGEREF _Toc231895183 \h </w:instrText>
        </w:r>
        <w:r>
          <w:rPr>
            <w:noProof/>
            <w:webHidden/>
          </w:rPr>
        </w:r>
        <w:r>
          <w:rPr>
            <w:noProof/>
            <w:webHidden/>
          </w:rPr>
          <w:fldChar w:fldCharType="separate"/>
        </w:r>
        <w:r w:rsidR="00F97260">
          <w:rPr>
            <w:noProof/>
            <w:webHidden/>
          </w:rPr>
          <w:t>46</w:t>
        </w:r>
        <w:r>
          <w:rPr>
            <w:noProof/>
            <w:webHidden/>
          </w:rPr>
          <w:fldChar w:fldCharType="end"/>
        </w:r>
      </w:hyperlink>
    </w:p>
    <w:p w14:paraId="470CC4D1" w14:textId="76608C20"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84" w:history="1">
        <w:r w:rsidRPr="0095399A">
          <w:rPr>
            <w:rStyle w:val="Hyperlink"/>
            <w:noProof/>
          </w:rPr>
          <w:t>9.5.</w:t>
        </w:r>
        <w:r>
          <w:rPr>
            <w:rFonts w:asciiTheme="minorHAnsi" w:eastAsiaTheme="minorEastAsia" w:hAnsiTheme="minorHAnsi" w:cstheme="minorBidi"/>
            <w:noProof/>
            <w:kern w:val="2"/>
            <w:sz w:val="24"/>
            <w:szCs w:val="24"/>
            <w14:ligatures w14:val="standardContextual"/>
          </w:rPr>
          <w:tab/>
        </w:r>
        <w:r w:rsidRPr="0095399A">
          <w:rPr>
            <w:rStyle w:val="Hyperlink"/>
            <w:noProof/>
          </w:rPr>
          <w:t>Suspicious Matter Reporting and Confidentiality</w:t>
        </w:r>
        <w:r>
          <w:rPr>
            <w:noProof/>
            <w:webHidden/>
          </w:rPr>
          <w:tab/>
        </w:r>
        <w:r>
          <w:rPr>
            <w:noProof/>
            <w:webHidden/>
          </w:rPr>
          <w:fldChar w:fldCharType="begin"/>
        </w:r>
        <w:r>
          <w:rPr>
            <w:noProof/>
            <w:webHidden/>
          </w:rPr>
          <w:instrText xml:space="preserve"> PAGEREF _Toc231895184 \h </w:instrText>
        </w:r>
        <w:r>
          <w:rPr>
            <w:noProof/>
            <w:webHidden/>
          </w:rPr>
        </w:r>
        <w:r>
          <w:rPr>
            <w:noProof/>
            <w:webHidden/>
          </w:rPr>
          <w:fldChar w:fldCharType="separate"/>
        </w:r>
        <w:r w:rsidR="00F97260">
          <w:rPr>
            <w:noProof/>
            <w:webHidden/>
          </w:rPr>
          <w:t>47</w:t>
        </w:r>
        <w:r>
          <w:rPr>
            <w:noProof/>
            <w:webHidden/>
          </w:rPr>
          <w:fldChar w:fldCharType="end"/>
        </w:r>
      </w:hyperlink>
    </w:p>
    <w:p w14:paraId="4FE75460" w14:textId="40E6CDA9"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85" w:history="1">
        <w:r w:rsidRPr="0095399A">
          <w:rPr>
            <w:rStyle w:val="Hyperlink"/>
            <w:noProof/>
          </w:rPr>
          <w:t>9.6.</w:t>
        </w:r>
        <w:r>
          <w:rPr>
            <w:rFonts w:asciiTheme="minorHAnsi" w:eastAsiaTheme="minorEastAsia" w:hAnsiTheme="minorHAnsi" w:cstheme="minorBidi"/>
            <w:noProof/>
            <w:kern w:val="2"/>
            <w:sz w:val="24"/>
            <w:szCs w:val="24"/>
            <w14:ligatures w14:val="standardContextual"/>
          </w:rPr>
          <w:tab/>
        </w:r>
        <w:r w:rsidRPr="0095399A">
          <w:rPr>
            <w:rStyle w:val="Hyperlink"/>
            <w:noProof/>
          </w:rPr>
          <w:t>Record Retention: Aligning Requirements</w:t>
        </w:r>
        <w:r>
          <w:rPr>
            <w:noProof/>
            <w:webHidden/>
          </w:rPr>
          <w:tab/>
        </w:r>
        <w:r>
          <w:rPr>
            <w:noProof/>
            <w:webHidden/>
          </w:rPr>
          <w:fldChar w:fldCharType="begin"/>
        </w:r>
        <w:r>
          <w:rPr>
            <w:noProof/>
            <w:webHidden/>
          </w:rPr>
          <w:instrText xml:space="preserve"> PAGEREF _Toc231895185 \h </w:instrText>
        </w:r>
        <w:r>
          <w:rPr>
            <w:noProof/>
            <w:webHidden/>
          </w:rPr>
        </w:r>
        <w:r>
          <w:rPr>
            <w:noProof/>
            <w:webHidden/>
          </w:rPr>
          <w:fldChar w:fldCharType="separate"/>
        </w:r>
        <w:r w:rsidR="00F97260">
          <w:rPr>
            <w:noProof/>
            <w:webHidden/>
          </w:rPr>
          <w:t>47</w:t>
        </w:r>
        <w:r>
          <w:rPr>
            <w:noProof/>
            <w:webHidden/>
          </w:rPr>
          <w:fldChar w:fldCharType="end"/>
        </w:r>
      </w:hyperlink>
    </w:p>
    <w:p w14:paraId="789CC788" w14:textId="708299D8" w:rsidR="009F778D" w:rsidRDefault="009F778D">
      <w:pPr>
        <w:pStyle w:val="TOC1"/>
        <w:tabs>
          <w:tab w:val="right" w:leader="dot" w:pos="9016"/>
        </w:tabs>
        <w:rPr>
          <w:rFonts w:asciiTheme="minorHAnsi" w:eastAsiaTheme="minorEastAsia" w:hAnsiTheme="minorHAnsi" w:cstheme="minorBidi"/>
          <w:b w:val="0"/>
          <w:bCs w:val="0"/>
          <w:caps w:val="0"/>
          <w:noProof/>
          <w:color w:val="auto"/>
          <w:kern w:val="2"/>
          <w14:ligatures w14:val="standardContextual"/>
        </w:rPr>
      </w:pPr>
      <w:hyperlink w:anchor="_Toc231895186" w:history="1">
        <w:r w:rsidRPr="0095399A">
          <w:rPr>
            <w:rStyle w:val="Hyperlink"/>
            <w:noProof/>
          </w:rPr>
          <w:t>PART D</w:t>
        </w:r>
        <w:r>
          <w:rPr>
            <w:noProof/>
            <w:webHidden/>
          </w:rPr>
          <w:tab/>
        </w:r>
        <w:r>
          <w:rPr>
            <w:noProof/>
            <w:webHidden/>
          </w:rPr>
          <w:fldChar w:fldCharType="begin"/>
        </w:r>
        <w:r>
          <w:rPr>
            <w:noProof/>
            <w:webHidden/>
          </w:rPr>
          <w:instrText xml:space="preserve"> PAGEREF _Toc231895186 \h </w:instrText>
        </w:r>
        <w:r>
          <w:rPr>
            <w:noProof/>
            <w:webHidden/>
          </w:rPr>
        </w:r>
        <w:r>
          <w:rPr>
            <w:noProof/>
            <w:webHidden/>
          </w:rPr>
          <w:fldChar w:fldCharType="separate"/>
        </w:r>
        <w:r w:rsidR="00F97260">
          <w:rPr>
            <w:noProof/>
            <w:webHidden/>
          </w:rPr>
          <w:t>49</w:t>
        </w:r>
        <w:r>
          <w:rPr>
            <w:noProof/>
            <w:webHidden/>
          </w:rPr>
          <w:fldChar w:fldCharType="end"/>
        </w:r>
      </w:hyperlink>
    </w:p>
    <w:p w14:paraId="319F9263" w14:textId="1EFDE045" w:rsidR="009F778D" w:rsidRDefault="009F778D">
      <w:pPr>
        <w:pStyle w:val="TOC2"/>
        <w:tabs>
          <w:tab w:val="right" w:leader="dot" w:pos="9016"/>
        </w:tabs>
        <w:rPr>
          <w:rFonts w:asciiTheme="minorHAnsi" w:eastAsiaTheme="minorEastAsia" w:hAnsiTheme="minorHAnsi" w:cstheme="minorBidi"/>
          <w:bCs w:val="0"/>
          <w:noProof/>
          <w:color w:val="auto"/>
          <w:kern w:val="2"/>
          <w:sz w:val="24"/>
          <w:szCs w:val="24"/>
          <w14:ligatures w14:val="standardContextual"/>
        </w:rPr>
      </w:pPr>
      <w:hyperlink w:anchor="_Toc231895187" w:history="1">
        <w:r w:rsidRPr="0095399A">
          <w:rPr>
            <w:rStyle w:val="Hyperlink"/>
            <w:noProof/>
          </w:rPr>
          <w:t>BUILDING YOUR COMPLIANCE FRAMEWORK</w:t>
        </w:r>
        <w:r>
          <w:rPr>
            <w:noProof/>
            <w:webHidden/>
          </w:rPr>
          <w:tab/>
        </w:r>
        <w:r>
          <w:rPr>
            <w:noProof/>
            <w:webHidden/>
          </w:rPr>
          <w:fldChar w:fldCharType="begin"/>
        </w:r>
        <w:r>
          <w:rPr>
            <w:noProof/>
            <w:webHidden/>
          </w:rPr>
          <w:instrText xml:space="preserve"> PAGEREF _Toc231895187 \h </w:instrText>
        </w:r>
        <w:r>
          <w:rPr>
            <w:noProof/>
            <w:webHidden/>
          </w:rPr>
        </w:r>
        <w:r>
          <w:rPr>
            <w:noProof/>
            <w:webHidden/>
          </w:rPr>
          <w:fldChar w:fldCharType="separate"/>
        </w:r>
        <w:r w:rsidR="00F97260">
          <w:rPr>
            <w:noProof/>
            <w:webHidden/>
          </w:rPr>
          <w:t>49</w:t>
        </w:r>
        <w:r>
          <w:rPr>
            <w:noProof/>
            <w:webHidden/>
          </w:rPr>
          <w:fldChar w:fldCharType="end"/>
        </w:r>
      </w:hyperlink>
    </w:p>
    <w:p w14:paraId="51BF9BAF" w14:textId="41DC463A" w:rsidR="009F778D" w:rsidRDefault="009F778D">
      <w:pPr>
        <w:pStyle w:val="TOC3"/>
        <w:tabs>
          <w:tab w:val="left" w:pos="1710"/>
        </w:tabs>
        <w:rPr>
          <w:rFonts w:asciiTheme="minorHAnsi" w:eastAsiaTheme="minorEastAsia" w:hAnsiTheme="minorHAnsi" w:cstheme="minorBidi"/>
          <w:noProof/>
          <w:color w:val="auto"/>
          <w:kern w:val="2"/>
          <w:sz w:val="24"/>
          <w:szCs w:val="24"/>
          <w14:ligatures w14:val="standardContextual"/>
        </w:rPr>
      </w:pPr>
      <w:hyperlink w:anchor="_Toc231895188" w:history="1">
        <w:r w:rsidRPr="0095399A">
          <w:rPr>
            <w:rStyle w:val="Hyperlink"/>
            <w:noProof/>
          </w:rPr>
          <w:t>Chapter 10:</w:t>
        </w:r>
        <w:r>
          <w:rPr>
            <w:rFonts w:asciiTheme="minorHAnsi" w:eastAsiaTheme="minorEastAsia" w:hAnsiTheme="minorHAnsi" w:cstheme="minorBidi"/>
            <w:noProof/>
            <w:color w:val="auto"/>
            <w:kern w:val="2"/>
            <w:sz w:val="24"/>
            <w:szCs w:val="24"/>
            <w14:ligatures w14:val="standardContextual"/>
          </w:rPr>
          <w:tab/>
        </w:r>
        <w:r w:rsidRPr="0095399A">
          <w:rPr>
            <w:rStyle w:val="Hyperlink"/>
            <w:noProof/>
          </w:rPr>
          <w:t>Your Privacy Policy</w:t>
        </w:r>
        <w:r>
          <w:rPr>
            <w:noProof/>
            <w:webHidden/>
          </w:rPr>
          <w:tab/>
        </w:r>
        <w:r>
          <w:rPr>
            <w:noProof/>
            <w:webHidden/>
          </w:rPr>
          <w:fldChar w:fldCharType="begin"/>
        </w:r>
        <w:r>
          <w:rPr>
            <w:noProof/>
            <w:webHidden/>
          </w:rPr>
          <w:instrText xml:space="preserve"> PAGEREF _Toc231895188 \h </w:instrText>
        </w:r>
        <w:r>
          <w:rPr>
            <w:noProof/>
            <w:webHidden/>
          </w:rPr>
        </w:r>
        <w:r>
          <w:rPr>
            <w:noProof/>
            <w:webHidden/>
          </w:rPr>
          <w:fldChar w:fldCharType="separate"/>
        </w:r>
        <w:r w:rsidR="00F97260">
          <w:rPr>
            <w:noProof/>
            <w:webHidden/>
          </w:rPr>
          <w:t>49</w:t>
        </w:r>
        <w:r>
          <w:rPr>
            <w:noProof/>
            <w:webHidden/>
          </w:rPr>
          <w:fldChar w:fldCharType="end"/>
        </w:r>
      </w:hyperlink>
    </w:p>
    <w:p w14:paraId="3EC4597F" w14:textId="364A9B5B"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89" w:history="1">
        <w:r w:rsidRPr="0095399A">
          <w:rPr>
            <w:rStyle w:val="Hyperlink"/>
            <w:noProof/>
          </w:rPr>
          <w:t>10.1.</w:t>
        </w:r>
        <w:r>
          <w:rPr>
            <w:rFonts w:asciiTheme="minorHAnsi" w:eastAsiaTheme="minorEastAsia" w:hAnsiTheme="minorHAnsi" w:cstheme="minorBidi"/>
            <w:noProof/>
            <w:kern w:val="2"/>
            <w:sz w:val="24"/>
            <w:szCs w:val="24"/>
            <w14:ligatures w14:val="standardContextual"/>
          </w:rPr>
          <w:tab/>
        </w:r>
        <w:r w:rsidRPr="0095399A">
          <w:rPr>
            <w:rStyle w:val="Hyperlink"/>
            <w:noProof/>
          </w:rPr>
          <w:t>Purpose and mandatory elements</w:t>
        </w:r>
        <w:r>
          <w:rPr>
            <w:noProof/>
            <w:webHidden/>
          </w:rPr>
          <w:tab/>
        </w:r>
        <w:r>
          <w:rPr>
            <w:noProof/>
            <w:webHidden/>
          </w:rPr>
          <w:fldChar w:fldCharType="begin"/>
        </w:r>
        <w:r>
          <w:rPr>
            <w:noProof/>
            <w:webHidden/>
          </w:rPr>
          <w:instrText xml:space="preserve"> PAGEREF _Toc231895189 \h </w:instrText>
        </w:r>
        <w:r>
          <w:rPr>
            <w:noProof/>
            <w:webHidden/>
          </w:rPr>
        </w:r>
        <w:r>
          <w:rPr>
            <w:noProof/>
            <w:webHidden/>
          </w:rPr>
          <w:fldChar w:fldCharType="separate"/>
        </w:r>
        <w:r w:rsidR="00F97260">
          <w:rPr>
            <w:noProof/>
            <w:webHidden/>
          </w:rPr>
          <w:t>49</w:t>
        </w:r>
        <w:r>
          <w:rPr>
            <w:noProof/>
            <w:webHidden/>
          </w:rPr>
          <w:fldChar w:fldCharType="end"/>
        </w:r>
      </w:hyperlink>
    </w:p>
    <w:p w14:paraId="0DAA3D93" w14:textId="3DB19749"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90" w:history="1">
        <w:r w:rsidRPr="0095399A">
          <w:rPr>
            <w:rStyle w:val="Hyperlink"/>
            <w:noProof/>
          </w:rPr>
          <w:t>10.2.</w:t>
        </w:r>
        <w:r>
          <w:rPr>
            <w:rFonts w:asciiTheme="minorHAnsi" w:eastAsiaTheme="minorEastAsia" w:hAnsiTheme="minorHAnsi" w:cstheme="minorBidi"/>
            <w:noProof/>
            <w:kern w:val="2"/>
            <w:sz w:val="24"/>
            <w:szCs w:val="24"/>
            <w14:ligatures w14:val="standardContextual"/>
          </w:rPr>
          <w:tab/>
        </w:r>
        <w:r w:rsidRPr="0095399A">
          <w:rPr>
            <w:rStyle w:val="Hyperlink"/>
            <w:noProof/>
          </w:rPr>
          <w:t>Using the Priv</w:t>
        </w:r>
        <w:r w:rsidRPr="0095399A">
          <w:rPr>
            <w:rStyle w:val="Hyperlink"/>
            <w:noProof/>
          </w:rPr>
          <w:t>a</w:t>
        </w:r>
        <w:r w:rsidRPr="0095399A">
          <w:rPr>
            <w:rStyle w:val="Hyperlink"/>
            <w:noProof/>
          </w:rPr>
          <w:t>cy Policy Template</w:t>
        </w:r>
        <w:r>
          <w:rPr>
            <w:noProof/>
            <w:webHidden/>
          </w:rPr>
          <w:tab/>
        </w:r>
        <w:r>
          <w:rPr>
            <w:noProof/>
            <w:webHidden/>
          </w:rPr>
          <w:fldChar w:fldCharType="begin"/>
        </w:r>
        <w:r>
          <w:rPr>
            <w:noProof/>
            <w:webHidden/>
          </w:rPr>
          <w:instrText xml:space="preserve"> PAGEREF _Toc231895190 \h </w:instrText>
        </w:r>
        <w:r>
          <w:rPr>
            <w:noProof/>
            <w:webHidden/>
          </w:rPr>
        </w:r>
        <w:r>
          <w:rPr>
            <w:noProof/>
            <w:webHidden/>
          </w:rPr>
          <w:fldChar w:fldCharType="separate"/>
        </w:r>
        <w:r w:rsidR="00F97260">
          <w:rPr>
            <w:noProof/>
            <w:webHidden/>
          </w:rPr>
          <w:t>50</w:t>
        </w:r>
        <w:r>
          <w:rPr>
            <w:noProof/>
            <w:webHidden/>
          </w:rPr>
          <w:fldChar w:fldCharType="end"/>
        </w:r>
      </w:hyperlink>
    </w:p>
    <w:p w14:paraId="5708DB1C" w14:textId="3029F1A8"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91" w:history="1">
        <w:r w:rsidRPr="0095399A">
          <w:rPr>
            <w:rStyle w:val="Hyperlink"/>
            <w:noProof/>
          </w:rPr>
          <w:t>10.3.</w:t>
        </w:r>
        <w:r>
          <w:rPr>
            <w:rFonts w:asciiTheme="minorHAnsi" w:eastAsiaTheme="minorEastAsia" w:hAnsiTheme="minorHAnsi" w:cstheme="minorBidi"/>
            <w:noProof/>
            <w:kern w:val="2"/>
            <w:sz w:val="24"/>
            <w:szCs w:val="24"/>
            <w14:ligatures w14:val="standardContextual"/>
          </w:rPr>
          <w:tab/>
        </w:r>
        <w:r w:rsidRPr="0095399A">
          <w:rPr>
            <w:rStyle w:val="Hyperlink"/>
            <w:noProof/>
          </w:rPr>
          <w:t>Publication and Accessibility</w:t>
        </w:r>
        <w:r>
          <w:rPr>
            <w:noProof/>
            <w:webHidden/>
          </w:rPr>
          <w:tab/>
        </w:r>
        <w:r>
          <w:rPr>
            <w:noProof/>
            <w:webHidden/>
          </w:rPr>
          <w:fldChar w:fldCharType="begin"/>
        </w:r>
        <w:r>
          <w:rPr>
            <w:noProof/>
            <w:webHidden/>
          </w:rPr>
          <w:instrText xml:space="preserve"> PAGEREF _Toc231895191 \h </w:instrText>
        </w:r>
        <w:r>
          <w:rPr>
            <w:noProof/>
            <w:webHidden/>
          </w:rPr>
        </w:r>
        <w:r>
          <w:rPr>
            <w:noProof/>
            <w:webHidden/>
          </w:rPr>
          <w:fldChar w:fldCharType="separate"/>
        </w:r>
        <w:r w:rsidR="00F97260">
          <w:rPr>
            <w:noProof/>
            <w:webHidden/>
          </w:rPr>
          <w:t>50</w:t>
        </w:r>
        <w:r>
          <w:rPr>
            <w:noProof/>
            <w:webHidden/>
          </w:rPr>
          <w:fldChar w:fldCharType="end"/>
        </w:r>
      </w:hyperlink>
    </w:p>
    <w:p w14:paraId="09CAAF8B" w14:textId="317BDDAE"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92" w:history="1">
        <w:r w:rsidRPr="0095399A">
          <w:rPr>
            <w:rStyle w:val="Hyperlink"/>
            <w:noProof/>
          </w:rPr>
          <w:t>10.4.</w:t>
        </w:r>
        <w:r>
          <w:rPr>
            <w:rFonts w:asciiTheme="minorHAnsi" w:eastAsiaTheme="minorEastAsia" w:hAnsiTheme="minorHAnsi" w:cstheme="minorBidi"/>
            <w:noProof/>
            <w:kern w:val="2"/>
            <w:sz w:val="24"/>
            <w:szCs w:val="24"/>
            <w14:ligatures w14:val="standardContextual"/>
          </w:rPr>
          <w:tab/>
        </w:r>
        <w:r w:rsidRPr="0095399A">
          <w:rPr>
            <w:rStyle w:val="Hyperlink"/>
            <w:noProof/>
          </w:rPr>
          <w:t>Keeping the Policy Current</w:t>
        </w:r>
        <w:r>
          <w:rPr>
            <w:noProof/>
            <w:webHidden/>
          </w:rPr>
          <w:tab/>
        </w:r>
        <w:r>
          <w:rPr>
            <w:noProof/>
            <w:webHidden/>
          </w:rPr>
          <w:fldChar w:fldCharType="begin"/>
        </w:r>
        <w:r>
          <w:rPr>
            <w:noProof/>
            <w:webHidden/>
          </w:rPr>
          <w:instrText xml:space="preserve"> PAGEREF _Toc231895192 \h </w:instrText>
        </w:r>
        <w:r>
          <w:rPr>
            <w:noProof/>
            <w:webHidden/>
          </w:rPr>
        </w:r>
        <w:r>
          <w:rPr>
            <w:noProof/>
            <w:webHidden/>
          </w:rPr>
          <w:fldChar w:fldCharType="separate"/>
        </w:r>
        <w:r w:rsidR="00F97260">
          <w:rPr>
            <w:noProof/>
            <w:webHidden/>
          </w:rPr>
          <w:t>51</w:t>
        </w:r>
        <w:r>
          <w:rPr>
            <w:noProof/>
            <w:webHidden/>
          </w:rPr>
          <w:fldChar w:fldCharType="end"/>
        </w:r>
      </w:hyperlink>
    </w:p>
    <w:p w14:paraId="3FBD3054" w14:textId="6C605E32" w:rsidR="009F778D" w:rsidRDefault="009F778D">
      <w:pPr>
        <w:pStyle w:val="TOC3"/>
        <w:tabs>
          <w:tab w:val="left" w:pos="1710"/>
        </w:tabs>
        <w:rPr>
          <w:rFonts w:asciiTheme="minorHAnsi" w:eastAsiaTheme="minorEastAsia" w:hAnsiTheme="minorHAnsi" w:cstheme="minorBidi"/>
          <w:noProof/>
          <w:color w:val="auto"/>
          <w:kern w:val="2"/>
          <w:sz w:val="24"/>
          <w:szCs w:val="24"/>
          <w14:ligatures w14:val="standardContextual"/>
        </w:rPr>
      </w:pPr>
      <w:hyperlink w:anchor="_Toc231895193" w:history="1">
        <w:r w:rsidRPr="0095399A">
          <w:rPr>
            <w:rStyle w:val="Hyperlink"/>
            <w:noProof/>
          </w:rPr>
          <w:t>Chapter 11:</w:t>
        </w:r>
        <w:r>
          <w:rPr>
            <w:rFonts w:asciiTheme="minorHAnsi" w:eastAsiaTheme="minorEastAsia" w:hAnsiTheme="minorHAnsi" w:cstheme="minorBidi"/>
            <w:noProof/>
            <w:color w:val="auto"/>
            <w:kern w:val="2"/>
            <w:sz w:val="24"/>
            <w:szCs w:val="24"/>
            <w14:ligatures w14:val="standardContextual"/>
          </w:rPr>
          <w:tab/>
        </w:r>
        <w:r w:rsidRPr="0095399A">
          <w:rPr>
            <w:rStyle w:val="Hyperlink"/>
            <w:noProof/>
          </w:rPr>
          <w:t>Collection Notices</w:t>
        </w:r>
        <w:r>
          <w:rPr>
            <w:noProof/>
            <w:webHidden/>
          </w:rPr>
          <w:tab/>
        </w:r>
        <w:r>
          <w:rPr>
            <w:noProof/>
            <w:webHidden/>
          </w:rPr>
          <w:fldChar w:fldCharType="begin"/>
        </w:r>
        <w:r>
          <w:rPr>
            <w:noProof/>
            <w:webHidden/>
          </w:rPr>
          <w:instrText xml:space="preserve"> PAGEREF _Toc231895193 \h </w:instrText>
        </w:r>
        <w:r>
          <w:rPr>
            <w:noProof/>
            <w:webHidden/>
          </w:rPr>
        </w:r>
        <w:r>
          <w:rPr>
            <w:noProof/>
            <w:webHidden/>
          </w:rPr>
          <w:fldChar w:fldCharType="separate"/>
        </w:r>
        <w:r w:rsidR="00F97260">
          <w:rPr>
            <w:noProof/>
            <w:webHidden/>
          </w:rPr>
          <w:t>52</w:t>
        </w:r>
        <w:r>
          <w:rPr>
            <w:noProof/>
            <w:webHidden/>
          </w:rPr>
          <w:fldChar w:fldCharType="end"/>
        </w:r>
      </w:hyperlink>
    </w:p>
    <w:p w14:paraId="57F3CF45" w14:textId="5BCEF634"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94" w:history="1">
        <w:r w:rsidRPr="0095399A">
          <w:rPr>
            <w:rStyle w:val="Hyperlink"/>
            <w:noProof/>
          </w:rPr>
          <w:t>11.1.</w:t>
        </w:r>
        <w:r>
          <w:rPr>
            <w:rFonts w:asciiTheme="minorHAnsi" w:eastAsiaTheme="minorEastAsia" w:hAnsiTheme="minorHAnsi" w:cstheme="minorBidi"/>
            <w:noProof/>
            <w:kern w:val="2"/>
            <w:sz w:val="24"/>
            <w:szCs w:val="24"/>
            <w14:ligatures w14:val="standardContextual"/>
          </w:rPr>
          <w:tab/>
        </w:r>
        <w:r w:rsidRPr="0095399A">
          <w:rPr>
            <w:rStyle w:val="Hyperlink"/>
            <w:noProof/>
          </w:rPr>
          <w:t>When Collection Notices Are Required</w:t>
        </w:r>
        <w:r>
          <w:rPr>
            <w:noProof/>
            <w:webHidden/>
          </w:rPr>
          <w:tab/>
        </w:r>
        <w:r>
          <w:rPr>
            <w:noProof/>
            <w:webHidden/>
          </w:rPr>
          <w:fldChar w:fldCharType="begin"/>
        </w:r>
        <w:r>
          <w:rPr>
            <w:noProof/>
            <w:webHidden/>
          </w:rPr>
          <w:instrText xml:space="preserve"> PAGEREF _Toc231895194 \h </w:instrText>
        </w:r>
        <w:r>
          <w:rPr>
            <w:noProof/>
            <w:webHidden/>
          </w:rPr>
        </w:r>
        <w:r>
          <w:rPr>
            <w:noProof/>
            <w:webHidden/>
          </w:rPr>
          <w:fldChar w:fldCharType="separate"/>
        </w:r>
        <w:r w:rsidR="00F97260">
          <w:rPr>
            <w:noProof/>
            <w:webHidden/>
          </w:rPr>
          <w:t>52</w:t>
        </w:r>
        <w:r>
          <w:rPr>
            <w:noProof/>
            <w:webHidden/>
          </w:rPr>
          <w:fldChar w:fldCharType="end"/>
        </w:r>
      </w:hyperlink>
    </w:p>
    <w:p w14:paraId="3F637238" w14:textId="6FAA143F"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95" w:history="1">
        <w:r w:rsidRPr="0095399A">
          <w:rPr>
            <w:rStyle w:val="Hyperlink"/>
            <w:noProof/>
          </w:rPr>
          <w:t>11.2.</w:t>
        </w:r>
        <w:r>
          <w:rPr>
            <w:rFonts w:asciiTheme="minorHAnsi" w:eastAsiaTheme="minorEastAsia" w:hAnsiTheme="minorHAnsi" w:cstheme="minorBidi"/>
            <w:noProof/>
            <w:kern w:val="2"/>
            <w:sz w:val="24"/>
            <w:szCs w:val="24"/>
            <w14:ligatures w14:val="standardContextual"/>
          </w:rPr>
          <w:tab/>
        </w:r>
        <w:r w:rsidRPr="0095399A">
          <w:rPr>
            <w:rStyle w:val="Hyperlink"/>
            <w:noProof/>
          </w:rPr>
          <w:t>Required Content of Collection Notices</w:t>
        </w:r>
        <w:r>
          <w:rPr>
            <w:noProof/>
            <w:webHidden/>
          </w:rPr>
          <w:tab/>
        </w:r>
        <w:r>
          <w:rPr>
            <w:noProof/>
            <w:webHidden/>
          </w:rPr>
          <w:fldChar w:fldCharType="begin"/>
        </w:r>
        <w:r>
          <w:rPr>
            <w:noProof/>
            <w:webHidden/>
          </w:rPr>
          <w:instrText xml:space="preserve"> PAGEREF _Toc231895195 \h </w:instrText>
        </w:r>
        <w:r>
          <w:rPr>
            <w:noProof/>
            <w:webHidden/>
          </w:rPr>
        </w:r>
        <w:r>
          <w:rPr>
            <w:noProof/>
            <w:webHidden/>
          </w:rPr>
          <w:fldChar w:fldCharType="separate"/>
        </w:r>
        <w:r w:rsidR="00F97260">
          <w:rPr>
            <w:noProof/>
            <w:webHidden/>
          </w:rPr>
          <w:t>53</w:t>
        </w:r>
        <w:r>
          <w:rPr>
            <w:noProof/>
            <w:webHidden/>
          </w:rPr>
          <w:fldChar w:fldCharType="end"/>
        </w:r>
      </w:hyperlink>
    </w:p>
    <w:p w14:paraId="65219440" w14:textId="6E037F47"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96" w:history="1">
        <w:r w:rsidRPr="0095399A">
          <w:rPr>
            <w:rStyle w:val="Hyperlink"/>
            <w:noProof/>
          </w:rPr>
          <w:t>11.3.</w:t>
        </w:r>
        <w:r>
          <w:rPr>
            <w:rFonts w:asciiTheme="minorHAnsi" w:eastAsiaTheme="minorEastAsia" w:hAnsiTheme="minorHAnsi" w:cstheme="minorBidi"/>
            <w:noProof/>
            <w:kern w:val="2"/>
            <w:sz w:val="24"/>
            <w:szCs w:val="24"/>
            <w14:ligatures w14:val="standardContextual"/>
          </w:rPr>
          <w:tab/>
        </w:r>
        <w:r w:rsidRPr="0095399A">
          <w:rPr>
            <w:rStyle w:val="Hyperlink"/>
            <w:noProof/>
          </w:rPr>
          <w:t>Using the Collection Notice Template</w:t>
        </w:r>
        <w:r>
          <w:rPr>
            <w:noProof/>
            <w:webHidden/>
          </w:rPr>
          <w:tab/>
        </w:r>
        <w:r>
          <w:rPr>
            <w:noProof/>
            <w:webHidden/>
          </w:rPr>
          <w:fldChar w:fldCharType="begin"/>
        </w:r>
        <w:r>
          <w:rPr>
            <w:noProof/>
            <w:webHidden/>
          </w:rPr>
          <w:instrText xml:space="preserve"> PAGEREF _Toc231895196 \h </w:instrText>
        </w:r>
        <w:r>
          <w:rPr>
            <w:noProof/>
            <w:webHidden/>
          </w:rPr>
        </w:r>
        <w:r>
          <w:rPr>
            <w:noProof/>
            <w:webHidden/>
          </w:rPr>
          <w:fldChar w:fldCharType="separate"/>
        </w:r>
        <w:r w:rsidR="00F97260">
          <w:rPr>
            <w:noProof/>
            <w:webHidden/>
          </w:rPr>
          <w:t>53</w:t>
        </w:r>
        <w:r>
          <w:rPr>
            <w:noProof/>
            <w:webHidden/>
          </w:rPr>
          <w:fldChar w:fldCharType="end"/>
        </w:r>
      </w:hyperlink>
    </w:p>
    <w:p w14:paraId="54414725" w14:textId="2A5203D6"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97" w:history="1">
        <w:r w:rsidRPr="0095399A">
          <w:rPr>
            <w:rStyle w:val="Hyperlink"/>
            <w:noProof/>
          </w:rPr>
          <w:t>11.4.</w:t>
        </w:r>
        <w:r>
          <w:rPr>
            <w:rFonts w:asciiTheme="minorHAnsi" w:eastAsiaTheme="minorEastAsia" w:hAnsiTheme="minorHAnsi" w:cstheme="minorBidi"/>
            <w:noProof/>
            <w:kern w:val="2"/>
            <w:sz w:val="24"/>
            <w:szCs w:val="24"/>
            <w14:ligatures w14:val="standardContextual"/>
          </w:rPr>
          <w:tab/>
        </w:r>
        <w:r w:rsidRPr="0095399A">
          <w:rPr>
            <w:rStyle w:val="Hyperlink"/>
            <w:noProof/>
          </w:rPr>
          <w:t>Timing and Delivery</w:t>
        </w:r>
        <w:r>
          <w:rPr>
            <w:noProof/>
            <w:webHidden/>
          </w:rPr>
          <w:tab/>
        </w:r>
        <w:r>
          <w:rPr>
            <w:noProof/>
            <w:webHidden/>
          </w:rPr>
          <w:fldChar w:fldCharType="begin"/>
        </w:r>
        <w:r>
          <w:rPr>
            <w:noProof/>
            <w:webHidden/>
          </w:rPr>
          <w:instrText xml:space="preserve"> PAGEREF _Toc231895197 \h </w:instrText>
        </w:r>
        <w:r>
          <w:rPr>
            <w:noProof/>
            <w:webHidden/>
          </w:rPr>
        </w:r>
        <w:r>
          <w:rPr>
            <w:noProof/>
            <w:webHidden/>
          </w:rPr>
          <w:fldChar w:fldCharType="separate"/>
        </w:r>
        <w:r w:rsidR="00F97260">
          <w:rPr>
            <w:noProof/>
            <w:webHidden/>
          </w:rPr>
          <w:t>53</w:t>
        </w:r>
        <w:r>
          <w:rPr>
            <w:noProof/>
            <w:webHidden/>
          </w:rPr>
          <w:fldChar w:fldCharType="end"/>
        </w:r>
      </w:hyperlink>
    </w:p>
    <w:p w14:paraId="675345DC" w14:textId="25292B63" w:rsidR="009F778D" w:rsidRDefault="009F778D">
      <w:pPr>
        <w:pStyle w:val="TOC3"/>
        <w:tabs>
          <w:tab w:val="left" w:pos="1710"/>
        </w:tabs>
        <w:rPr>
          <w:rFonts w:asciiTheme="minorHAnsi" w:eastAsiaTheme="minorEastAsia" w:hAnsiTheme="minorHAnsi" w:cstheme="minorBidi"/>
          <w:noProof/>
          <w:color w:val="auto"/>
          <w:kern w:val="2"/>
          <w:sz w:val="24"/>
          <w:szCs w:val="24"/>
          <w14:ligatures w14:val="standardContextual"/>
        </w:rPr>
      </w:pPr>
      <w:hyperlink w:anchor="_Toc231895198" w:history="1">
        <w:r w:rsidRPr="0095399A">
          <w:rPr>
            <w:rStyle w:val="Hyperlink"/>
            <w:noProof/>
          </w:rPr>
          <w:t>Chapter 12:</w:t>
        </w:r>
        <w:r>
          <w:rPr>
            <w:rFonts w:asciiTheme="minorHAnsi" w:eastAsiaTheme="minorEastAsia" w:hAnsiTheme="minorHAnsi" w:cstheme="minorBidi"/>
            <w:noProof/>
            <w:color w:val="auto"/>
            <w:kern w:val="2"/>
            <w:sz w:val="24"/>
            <w:szCs w:val="24"/>
            <w14:ligatures w14:val="standardContextual"/>
          </w:rPr>
          <w:tab/>
        </w:r>
        <w:r w:rsidRPr="0095399A">
          <w:rPr>
            <w:rStyle w:val="Hyperlink"/>
            <w:noProof/>
          </w:rPr>
          <w:t>Information Management</w:t>
        </w:r>
        <w:r>
          <w:rPr>
            <w:noProof/>
            <w:webHidden/>
          </w:rPr>
          <w:tab/>
        </w:r>
        <w:r>
          <w:rPr>
            <w:noProof/>
            <w:webHidden/>
          </w:rPr>
          <w:fldChar w:fldCharType="begin"/>
        </w:r>
        <w:r>
          <w:rPr>
            <w:noProof/>
            <w:webHidden/>
          </w:rPr>
          <w:instrText xml:space="preserve"> PAGEREF _Toc231895198 \h </w:instrText>
        </w:r>
        <w:r>
          <w:rPr>
            <w:noProof/>
            <w:webHidden/>
          </w:rPr>
        </w:r>
        <w:r>
          <w:rPr>
            <w:noProof/>
            <w:webHidden/>
          </w:rPr>
          <w:fldChar w:fldCharType="separate"/>
        </w:r>
        <w:r w:rsidR="00F97260">
          <w:rPr>
            <w:noProof/>
            <w:webHidden/>
          </w:rPr>
          <w:t>55</w:t>
        </w:r>
        <w:r>
          <w:rPr>
            <w:noProof/>
            <w:webHidden/>
          </w:rPr>
          <w:fldChar w:fldCharType="end"/>
        </w:r>
      </w:hyperlink>
    </w:p>
    <w:p w14:paraId="00ABE696" w14:textId="329D1C2E"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199" w:history="1">
        <w:r w:rsidRPr="0095399A">
          <w:rPr>
            <w:rStyle w:val="Hyperlink"/>
            <w:noProof/>
          </w:rPr>
          <w:t>12.1.</w:t>
        </w:r>
        <w:r>
          <w:rPr>
            <w:rFonts w:asciiTheme="minorHAnsi" w:eastAsiaTheme="minorEastAsia" w:hAnsiTheme="minorHAnsi" w:cstheme="minorBidi"/>
            <w:noProof/>
            <w:kern w:val="2"/>
            <w:sz w:val="24"/>
            <w:szCs w:val="24"/>
            <w14:ligatures w14:val="standardContextual"/>
          </w:rPr>
          <w:tab/>
        </w:r>
        <w:r w:rsidRPr="0095399A">
          <w:rPr>
            <w:rStyle w:val="Hyperlink"/>
            <w:noProof/>
          </w:rPr>
          <w:t>Personal Information Inventory (Document 03)</w:t>
        </w:r>
        <w:r>
          <w:rPr>
            <w:noProof/>
            <w:webHidden/>
          </w:rPr>
          <w:tab/>
        </w:r>
        <w:r>
          <w:rPr>
            <w:noProof/>
            <w:webHidden/>
          </w:rPr>
          <w:fldChar w:fldCharType="begin"/>
        </w:r>
        <w:r>
          <w:rPr>
            <w:noProof/>
            <w:webHidden/>
          </w:rPr>
          <w:instrText xml:space="preserve"> PAGEREF _Toc231895199 \h </w:instrText>
        </w:r>
        <w:r>
          <w:rPr>
            <w:noProof/>
            <w:webHidden/>
          </w:rPr>
        </w:r>
        <w:r>
          <w:rPr>
            <w:noProof/>
            <w:webHidden/>
          </w:rPr>
          <w:fldChar w:fldCharType="separate"/>
        </w:r>
        <w:r w:rsidR="00F97260">
          <w:rPr>
            <w:noProof/>
            <w:webHidden/>
          </w:rPr>
          <w:t>55</w:t>
        </w:r>
        <w:r>
          <w:rPr>
            <w:noProof/>
            <w:webHidden/>
          </w:rPr>
          <w:fldChar w:fldCharType="end"/>
        </w:r>
      </w:hyperlink>
    </w:p>
    <w:p w14:paraId="5DB9BDEA" w14:textId="7C0DB179"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00" w:history="1">
        <w:r w:rsidRPr="0095399A">
          <w:rPr>
            <w:rStyle w:val="Hyperlink"/>
            <w:noProof/>
          </w:rPr>
          <w:t>12.2.</w:t>
        </w:r>
        <w:r>
          <w:rPr>
            <w:rFonts w:asciiTheme="minorHAnsi" w:eastAsiaTheme="minorEastAsia" w:hAnsiTheme="minorHAnsi" w:cstheme="minorBidi"/>
            <w:noProof/>
            <w:kern w:val="2"/>
            <w:sz w:val="24"/>
            <w:szCs w:val="24"/>
            <w14:ligatures w14:val="standardContextual"/>
          </w:rPr>
          <w:tab/>
        </w:r>
        <w:r w:rsidRPr="0095399A">
          <w:rPr>
            <w:rStyle w:val="Hyperlink"/>
            <w:noProof/>
          </w:rPr>
          <w:t>Data Retention Schedule (Document 04)</w:t>
        </w:r>
        <w:r>
          <w:rPr>
            <w:noProof/>
            <w:webHidden/>
          </w:rPr>
          <w:tab/>
        </w:r>
        <w:r>
          <w:rPr>
            <w:noProof/>
            <w:webHidden/>
          </w:rPr>
          <w:fldChar w:fldCharType="begin"/>
        </w:r>
        <w:r>
          <w:rPr>
            <w:noProof/>
            <w:webHidden/>
          </w:rPr>
          <w:instrText xml:space="preserve"> PAGEREF _Toc231895200 \h </w:instrText>
        </w:r>
        <w:r>
          <w:rPr>
            <w:noProof/>
            <w:webHidden/>
          </w:rPr>
        </w:r>
        <w:r>
          <w:rPr>
            <w:noProof/>
            <w:webHidden/>
          </w:rPr>
          <w:fldChar w:fldCharType="separate"/>
        </w:r>
        <w:r w:rsidR="00F97260">
          <w:rPr>
            <w:noProof/>
            <w:webHidden/>
          </w:rPr>
          <w:t>56</w:t>
        </w:r>
        <w:r>
          <w:rPr>
            <w:noProof/>
            <w:webHidden/>
          </w:rPr>
          <w:fldChar w:fldCharType="end"/>
        </w:r>
      </w:hyperlink>
    </w:p>
    <w:p w14:paraId="39B7A768" w14:textId="244BBB8B"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01" w:history="1">
        <w:r w:rsidRPr="0095399A">
          <w:rPr>
            <w:rStyle w:val="Hyperlink"/>
            <w:noProof/>
          </w:rPr>
          <w:t>12.3.</w:t>
        </w:r>
        <w:r>
          <w:rPr>
            <w:rFonts w:asciiTheme="minorHAnsi" w:eastAsiaTheme="minorEastAsia" w:hAnsiTheme="minorHAnsi" w:cstheme="minorBidi"/>
            <w:noProof/>
            <w:kern w:val="2"/>
            <w:sz w:val="24"/>
            <w:szCs w:val="24"/>
            <w14:ligatures w14:val="standardContextual"/>
          </w:rPr>
          <w:tab/>
        </w:r>
        <w:r w:rsidRPr="0095399A">
          <w:rPr>
            <w:rStyle w:val="Hyperlink"/>
            <w:noProof/>
          </w:rPr>
          <w:t>Secure Destruction</w:t>
        </w:r>
        <w:r>
          <w:rPr>
            <w:noProof/>
            <w:webHidden/>
          </w:rPr>
          <w:tab/>
        </w:r>
        <w:r>
          <w:rPr>
            <w:noProof/>
            <w:webHidden/>
          </w:rPr>
          <w:fldChar w:fldCharType="begin"/>
        </w:r>
        <w:r>
          <w:rPr>
            <w:noProof/>
            <w:webHidden/>
          </w:rPr>
          <w:instrText xml:space="preserve"> PAGEREF _Toc231895201 \h </w:instrText>
        </w:r>
        <w:r>
          <w:rPr>
            <w:noProof/>
            <w:webHidden/>
          </w:rPr>
        </w:r>
        <w:r>
          <w:rPr>
            <w:noProof/>
            <w:webHidden/>
          </w:rPr>
          <w:fldChar w:fldCharType="separate"/>
        </w:r>
        <w:r w:rsidR="00F97260">
          <w:rPr>
            <w:noProof/>
            <w:webHidden/>
          </w:rPr>
          <w:t>58</w:t>
        </w:r>
        <w:r>
          <w:rPr>
            <w:noProof/>
            <w:webHidden/>
          </w:rPr>
          <w:fldChar w:fldCharType="end"/>
        </w:r>
      </w:hyperlink>
    </w:p>
    <w:p w14:paraId="559E0736" w14:textId="6338E337"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02" w:history="1">
        <w:r w:rsidRPr="0095399A">
          <w:rPr>
            <w:rStyle w:val="Hyperlink"/>
            <w:noProof/>
          </w:rPr>
          <w:t>12.4.</w:t>
        </w:r>
        <w:r>
          <w:rPr>
            <w:rFonts w:asciiTheme="minorHAnsi" w:eastAsiaTheme="minorEastAsia" w:hAnsiTheme="minorHAnsi" w:cstheme="minorBidi"/>
            <w:noProof/>
            <w:kern w:val="2"/>
            <w:sz w:val="24"/>
            <w:szCs w:val="24"/>
            <w14:ligatures w14:val="standardContextual"/>
          </w:rPr>
          <w:tab/>
        </w:r>
        <w:r w:rsidRPr="0095399A">
          <w:rPr>
            <w:rStyle w:val="Hyperlink"/>
            <w:noProof/>
          </w:rPr>
          <w:t>Data Quality</w:t>
        </w:r>
        <w:r>
          <w:rPr>
            <w:noProof/>
            <w:webHidden/>
          </w:rPr>
          <w:tab/>
        </w:r>
        <w:r>
          <w:rPr>
            <w:noProof/>
            <w:webHidden/>
          </w:rPr>
          <w:fldChar w:fldCharType="begin"/>
        </w:r>
        <w:r>
          <w:rPr>
            <w:noProof/>
            <w:webHidden/>
          </w:rPr>
          <w:instrText xml:space="preserve"> PAGEREF _Toc231895202 \h </w:instrText>
        </w:r>
        <w:r>
          <w:rPr>
            <w:noProof/>
            <w:webHidden/>
          </w:rPr>
        </w:r>
        <w:r>
          <w:rPr>
            <w:noProof/>
            <w:webHidden/>
          </w:rPr>
          <w:fldChar w:fldCharType="separate"/>
        </w:r>
        <w:r w:rsidR="00F97260">
          <w:rPr>
            <w:noProof/>
            <w:webHidden/>
          </w:rPr>
          <w:t>58</w:t>
        </w:r>
        <w:r>
          <w:rPr>
            <w:noProof/>
            <w:webHidden/>
          </w:rPr>
          <w:fldChar w:fldCharType="end"/>
        </w:r>
      </w:hyperlink>
    </w:p>
    <w:p w14:paraId="2A8798EE" w14:textId="59C2A5F7"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03" w:history="1">
        <w:r w:rsidRPr="0095399A">
          <w:rPr>
            <w:rStyle w:val="Hyperlink"/>
            <w:noProof/>
          </w:rPr>
          <w:t>12.5.</w:t>
        </w:r>
        <w:r>
          <w:rPr>
            <w:rFonts w:asciiTheme="minorHAnsi" w:eastAsiaTheme="minorEastAsia" w:hAnsiTheme="minorHAnsi" w:cstheme="minorBidi"/>
            <w:noProof/>
            <w:kern w:val="2"/>
            <w:sz w:val="24"/>
            <w:szCs w:val="24"/>
            <w14:ligatures w14:val="standardContextual"/>
          </w:rPr>
          <w:tab/>
        </w:r>
        <w:r w:rsidRPr="0095399A">
          <w:rPr>
            <w:rStyle w:val="Hyperlink"/>
            <w:noProof/>
          </w:rPr>
          <w:t>Cross-Border Considerations</w:t>
        </w:r>
        <w:r>
          <w:rPr>
            <w:noProof/>
            <w:webHidden/>
          </w:rPr>
          <w:tab/>
        </w:r>
        <w:r>
          <w:rPr>
            <w:noProof/>
            <w:webHidden/>
          </w:rPr>
          <w:fldChar w:fldCharType="begin"/>
        </w:r>
        <w:r>
          <w:rPr>
            <w:noProof/>
            <w:webHidden/>
          </w:rPr>
          <w:instrText xml:space="preserve"> PAGEREF _Toc231895203 \h </w:instrText>
        </w:r>
        <w:r>
          <w:rPr>
            <w:noProof/>
            <w:webHidden/>
          </w:rPr>
        </w:r>
        <w:r>
          <w:rPr>
            <w:noProof/>
            <w:webHidden/>
          </w:rPr>
          <w:fldChar w:fldCharType="separate"/>
        </w:r>
        <w:r w:rsidR="00F97260">
          <w:rPr>
            <w:noProof/>
            <w:webHidden/>
          </w:rPr>
          <w:t>59</w:t>
        </w:r>
        <w:r>
          <w:rPr>
            <w:noProof/>
            <w:webHidden/>
          </w:rPr>
          <w:fldChar w:fldCharType="end"/>
        </w:r>
      </w:hyperlink>
    </w:p>
    <w:p w14:paraId="2F02B509" w14:textId="2DFA0E76" w:rsidR="009F778D" w:rsidRDefault="009F778D">
      <w:pPr>
        <w:pStyle w:val="TOC3"/>
        <w:tabs>
          <w:tab w:val="left" w:pos="1710"/>
        </w:tabs>
        <w:rPr>
          <w:rFonts w:asciiTheme="minorHAnsi" w:eastAsiaTheme="minorEastAsia" w:hAnsiTheme="minorHAnsi" w:cstheme="minorBidi"/>
          <w:noProof/>
          <w:color w:val="auto"/>
          <w:kern w:val="2"/>
          <w:sz w:val="24"/>
          <w:szCs w:val="24"/>
          <w14:ligatures w14:val="standardContextual"/>
        </w:rPr>
      </w:pPr>
      <w:hyperlink w:anchor="_Toc231895204" w:history="1">
        <w:r w:rsidRPr="0095399A">
          <w:rPr>
            <w:rStyle w:val="Hyperlink"/>
            <w:noProof/>
          </w:rPr>
          <w:t>Chapter 13:</w:t>
        </w:r>
        <w:r>
          <w:rPr>
            <w:rFonts w:asciiTheme="minorHAnsi" w:eastAsiaTheme="minorEastAsia" w:hAnsiTheme="minorHAnsi" w:cstheme="minorBidi"/>
            <w:noProof/>
            <w:color w:val="auto"/>
            <w:kern w:val="2"/>
            <w:sz w:val="24"/>
            <w:szCs w:val="24"/>
            <w14:ligatures w14:val="standardContextual"/>
          </w:rPr>
          <w:tab/>
        </w:r>
        <w:r w:rsidRPr="0095399A">
          <w:rPr>
            <w:rStyle w:val="Hyperlink"/>
            <w:noProof/>
          </w:rPr>
          <w:t>Implementation Roadmap</w:t>
        </w:r>
        <w:r>
          <w:rPr>
            <w:noProof/>
            <w:webHidden/>
          </w:rPr>
          <w:tab/>
        </w:r>
        <w:r>
          <w:rPr>
            <w:noProof/>
            <w:webHidden/>
          </w:rPr>
          <w:fldChar w:fldCharType="begin"/>
        </w:r>
        <w:r>
          <w:rPr>
            <w:noProof/>
            <w:webHidden/>
          </w:rPr>
          <w:instrText xml:space="preserve"> PAGEREF _Toc231895204 \h </w:instrText>
        </w:r>
        <w:r>
          <w:rPr>
            <w:noProof/>
            <w:webHidden/>
          </w:rPr>
        </w:r>
        <w:r>
          <w:rPr>
            <w:noProof/>
            <w:webHidden/>
          </w:rPr>
          <w:fldChar w:fldCharType="separate"/>
        </w:r>
        <w:r w:rsidR="00F97260">
          <w:rPr>
            <w:noProof/>
            <w:webHidden/>
          </w:rPr>
          <w:t>60</w:t>
        </w:r>
        <w:r>
          <w:rPr>
            <w:noProof/>
            <w:webHidden/>
          </w:rPr>
          <w:fldChar w:fldCharType="end"/>
        </w:r>
      </w:hyperlink>
    </w:p>
    <w:p w14:paraId="15E7D431" w14:textId="2065ED9E"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05" w:history="1">
        <w:r w:rsidRPr="0095399A">
          <w:rPr>
            <w:rStyle w:val="Hyperlink"/>
            <w:noProof/>
          </w:rPr>
          <w:t>13.1.</w:t>
        </w:r>
        <w:r>
          <w:rPr>
            <w:rFonts w:asciiTheme="minorHAnsi" w:eastAsiaTheme="minorEastAsia" w:hAnsiTheme="minorHAnsi" w:cstheme="minorBidi"/>
            <w:noProof/>
            <w:kern w:val="2"/>
            <w:sz w:val="24"/>
            <w:szCs w:val="24"/>
            <w14:ligatures w14:val="standardContextual"/>
          </w:rPr>
          <w:tab/>
        </w:r>
        <w:r w:rsidRPr="0095399A">
          <w:rPr>
            <w:rStyle w:val="Hyperlink"/>
            <w:noProof/>
          </w:rPr>
          <w:t>Phased Implementation Timeline Overview</w:t>
        </w:r>
        <w:r>
          <w:rPr>
            <w:noProof/>
            <w:webHidden/>
          </w:rPr>
          <w:tab/>
        </w:r>
        <w:r>
          <w:rPr>
            <w:noProof/>
            <w:webHidden/>
          </w:rPr>
          <w:fldChar w:fldCharType="begin"/>
        </w:r>
        <w:r>
          <w:rPr>
            <w:noProof/>
            <w:webHidden/>
          </w:rPr>
          <w:instrText xml:space="preserve"> PAGEREF _Toc231895205 \h </w:instrText>
        </w:r>
        <w:r>
          <w:rPr>
            <w:noProof/>
            <w:webHidden/>
          </w:rPr>
        </w:r>
        <w:r>
          <w:rPr>
            <w:noProof/>
            <w:webHidden/>
          </w:rPr>
          <w:fldChar w:fldCharType="separate"/>
        </w:r>
        <w:r w:rsidR="00F97260">
          <w:rPr>
            <w:noProof/>
            <w:webHidden/>
          </w:rPr>
          <w:t>60</w:t>
        </w:r>
        <w:r>
          <w:rPr>
            <w:noProof/>
            <w:webHidden/>
          </w:rPr>
          <w:fldChar w:fldCharType="end"/>
        </w:r>
      </w:hyperlink>
    </w:p>
    <w:p w14:paraId="79C41EEF" w14:textId="60A5580C"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06" w:history="1">
        <w:r w:rsidRPr="0095399A">
          <w:rPr>
            <w:rStyle w:val="Hyperlink"/>
            <w:noProof/>
          </w:rPr>
          <w:t>13.2.</w:t>
        </w:r>
        <w:r>
          <w:rPr>
            <w:rFonts w:asciiTheme="minorHAnsi" w:eastAsiaTheme="minorEastAsia" w:hAnsiTheme="minorHAnsi" w:cstheme="minorBidi"/>
            <w:noProof/>
            <w:kern w:val="2"/>
            <w:sz w:val="24"/>
            <w:szCs w:val="24"/>
            <w14:ligatures w14:val="standardContextual"/>
          </w:rPr>
          <w:tab/>
        </w:r>
        <w:r w:rsidRPr="0095399A">
          <w:rPr>
            <w:rStyle w:val="Hyperlink"/>
            <w:noProof/>
          </w:rPr>
          <w:t>Phase 1: Foundation</w:t>
        </w:r>
        <w:r>
          <w:rPr>
            <w:noProof/>
            <w:webHidden/>
          </w:rPr>
          <w:tab/>
        </w:r>
        <w:r>
          <w:rPr>
            <w:noProof/>
            <w:webHidden/>
          </w:rPr>
          <w:fldChar w:fldCharType="begin"/>
        </w:r>
        <w:r>
          <w:rPr>
            <w:noProof/>
            <w:webHidden/>
          </w:rPr>
          <w:instrText xml:space="preserve"> PAGEREF _Toc231895206 \h </w:instrText>
        </w:r>
        <w:r>
          <w:rPr>
            <w:noProof/>
            <w:webHidden/>
          </w:rPr>
        </w:r>
        <w:r>
          <w:rPr>
            <w:noProof/>
            <w:webHidden/>
          </w:rPr>
          <w:fldChar w:fldCharType="separate"/>
        </w:r>
        <w:r w:rsidR="00F97260">
          <w:rPr>
            <w:noProof/>
            <w:webHidden/>
          </w:rPr>
          <w:t>60</w:t>
        </w:r>
        <w:r>
          <w:rPr>
            <w:noProof/>
            <w:webHidden/>
          </w:rPr>
          <w:fldChar w:fldCharType="end"/>
        </w:r>
      </w:hyperlink>
    </w:p>
    <w:p w14:paraId="73E3AD6F" w14:textId="37C3A871"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07" w:history="1">
        <w:r w:rsidRPr="0095399A">
          <w:rPr>
            <w:rStyle w:val="Hyperlink"/>
            <w:noProof/>
          </w:rPr>
          <w:t>13.3.</w:t>
        </w:r>
        <w:r>
          <w:rPr>
            <w:rFonts w:asciiTheme="minorHAnsi" w:eastAsiaTheme="minorEastAsia" w:hAnsiTheme="minorHAnsi" w:cstheme="minorBidi"/>
            <w:noProof/>
            <w:kern w:val="2"/>
            <w:sz w:val="24"/>
            <w:szCs w:val="24"/>
            <w14:ligatures w14:val="standardContextual"/>
          </w:rPr>
          <w:tab/>
        </w:r>
        <w:r w:rsidRPr="0095399A">
          <w:rPr>
            <w:rStyle w:val="Hyperlink"/>
            <w:noProof/>
          </w:rPr>
          <w:t>Phase 2: Documentation</w:t>
        </w:r>
        <w:r>
          <w:rPr>
            <w:noProof/>
            <w:webHidden/>
          </w:rPr>
          <w:tab/>
        </w:r>
        <w:r>
          <w:rPr>
            <w:noProof/>
            <w:webHidden/>
          </w:rPr>
          <w:fldChar w:fldCharType="begin"/>
        </w:r>
        <w:r>
          <w:rPr>
            <w:noProof/>
            <w:webHidden/>
          </w:rPr>
          <w:instrText xml:space="preserve"> PAGEREF _Toc231895207 \h </w:instrText>
        </w:r>
        <w:r>
          <w:rPr>
            <w:noProof/>
            <w:webHidden/>
          </w:rPr>
        </w:r>
        <w:r>
          <w:rPr>
            <w:noProof/>
            <w:webHidden/>
          </w:rPr>
          <w:fldChar w:fldCharType="separate"/>
        </w:r>
        <w:r w:rsidR="00F97260">
          <w:rPr>
            <w:noProof/>
            <w:webHidden/>
          </w:rPr>
          <w:t>61</w:t>
        </w:r>
        <w:r>
          <w:rPr>
            <w:noProof/>
            <w:webHidden/>
          </w:rPr>
          <w:fldChar w:fldCharType="end"/>
        </w:r>
      </w:hyperlink>
    </w:p>
    <w:p w14:paraId="008169D9" w14:textId="710792A6"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08" w:history="1">
        <w:r w:rsidRPr="0095399A">
          <w:rPr>
            <w:rStyle w:val="Hyperlink"/>
            <w:noProof/>
          </w:rPr>
          <w:t>13.4.</w:t>
        </w:r>
        <w:r>
          <w:rPr>
            <w:rFonts w:asciiTheme="minorHAnsi" w:eastAsiaTheme="minorEastAsia" w:hAnsiTheme="minorHAnsi" w:cstheme="minorBidi"/>
            <w:noProof/>
            <w:kern w:val="2"/>
            <w:sz w:val="24"/>
            <w:szCs w:val="24"/>
            <w14:ligatures w14:val="standardContextual"/>
          </w:rPr>
          <w:tab/>
        </w:r>
        <w:r w:rsidRPr="0095399A">
          <w:rPr>
            <w:rStyle w:val="Hyperlink"/>
            <w:noProof/>
          </w:rPr>
          <w:t>Phase 3: Implementation</w:t>
        </w:r>
        <w:r>
          <w:rPr>
            <w:noProof/>
            <w:webHidden/>
          </w:rPr>
          <w:tab/>
        </w:r>
        <w:r>
          <w:rPr>
            <w:noProof/>
            <w:webHidden/>
          </w:rPr>
          <w:fldChar w:fldCharType="begin"/>
        </w:r>
        <w:r>
          <w:rPr>
            <w:noProof/>
            <w:webHidden/>
          </w:rPr>
          <w:instrText xml:space="preserve"> PAGEREF _Toc231895208 \h </w:instrText>
        </w:r>
        <w:r>
          <w:rPr>
            <w:noProof/>
            <w:webHidden/>
          </w:rPr>
        </w:r>
        <w:r>
          <w:rPr>
            <w:noProof/>
            <w:webHidden/>
          </w:rPr>
          <w:fldChar w:fldCharType="separate"/>
        </w:r>
        <w:r w:rsidR="00F97260">
          <w:rPr>
            <w:noProof/>
            <w:webHidden/>
          </w:rPr>
          <w:t>61</w:t>
        </w:r>
        <w:r>
          <w:rPr>
            <w:noProof/>
            <w:webHidden/>
          </w:rPr>
          <w:fldChar w:fldCharType="end"/>
        </w:r>
      </w:hyperlink>
    </w:p>
    <w:p w14:paraId="7FC65A4F" w14:textId="59040463"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09" w:history="1">
        <w:r w:rsidRPr="0095399A">
          <w:rPr>
            <w:rStyle w:val="Hyperlink"/>
            <w:noProof/>
          </w:rPr>
          <w:t>13.5.</w:t>
        </w:r>
        <w:r>
          <w:rPr>
            <w:rFonts w:asciiTheme="minorHAnsi" w:eastAsiaTheme="minorEastAsia" w:hAnsiTheme="minorHAnsi" w:cstheme="minorBidi"/>
            <w:noProof/>
            <w:kern w:val="2"/>
            <w:sz w:val="24"/>
            <w:szCs w:val="24"/>
            <w14:ligatures w14:val="standardContextual"/>
          </w:rPr>
          <w:tab/>
        </w:r>
        <w:r w:rsidRPr="0095399A">
          <w:rPr>
            <w:rStyle w:val="Hyperlink"/>
            <w:noProof/>
          </w:rPr>
          <w:t>Phase 4: Readiness</w:t>
        </w:r>
        <w:r>
          <w:rPr>
            <w:noProof/>
            <w:webHidden/>
          </w:rPr>
          <w:tab/>
        </w:r>
        <w:r>
          <w:rPr>
            <w:noProof/>
            <w:webHidden/>
          </w:rPr>
          <w:fldChar w:fldCharType="begin"/>
        </w:r>
        <w:r>
          <w:rPr>
            <w:noProof/>
            <w:webHidden/>
          </w:rPr>
          <w:instrText xml:space="preserve"> PAGEREF _Toc231895209 \h </w:instrText>
        </w:r>
        <w:r>
          <w:rPr>
            <w:noProof/>
            <w:webHidden/>
          </w:rPr>
        </w:r>
        <w:r>
          <w:rPr>
            <w:noProof/>
            <w:webHidden/>
          </w:rPr>
          <w:fldChar w:fldCharType="separate"/>
        </w:r>
        <w:r w:rsidR="00F97260">
          <w:rPr>
            <w:noProof/>
            <w:webHidden/>
          </w:rPr>
          <w:t>62</w:t>
        </w:r>
        <w:r>
          <w:rPr>
            <w:noProof/>
            <w:webHidden/>
          </w:rPr>
          <w:fldChar w:fldCharType="end"/>
        </w:r>
      </w:hyperlink>
    </w:p>
    <w:p w14:paraId="16710495" w14:textId="77777777" w:rsidR="009F778D" w:rsidRDefault="009F778D">
      <w:pPr>
        <w:spacing w:after="0"/>
        <w:rPr>
          <w:rStyle w:val="Hyperlink"/>
          <w:rFonts w:cstheme="majorHAnsi"/>
          <w:b/>
          <w:bCs/>
          <w:caps/>
          <w:noProof/>
          <w:sz w:val="24"/>
          <w:szCs w:val="24"/>
        </w:rPr>
      </w:pPr>
      <w:r>
        <w:rPr>
          <w:rStyle w:val="Hyperlink"/>
          <w:noProof/>
        </w:rPr>
        <w:br w:type="page"/>
      </w:r>
    </w:p>
    <w:p w14:paraId="7783768B" w14:textId="67BF8276" w:rsidR="009F778D" w:rsidRDefault="009F778D">
      <w:pPr>
        <w:pStyle w:val="TOC1"/>
        <w:tabs>
          <w:tab w:val="right" w:leader="dot" w:pos="9016"/>
        </w:tabs>
        <w:rPr>
          <w:rFonts w:asciiTheme="minorHAnsi" w:eastAsiaTheme="minorEastAsia" w:hAnsiTheme="minorHAnsi" w:cstheme="minorBidi"/>
          <w:b w:val="0"/>
          <w:bCs w:val="0"/>
          <w:caps w:val="0"/>
          <w:noProof/>
          <w:color w:val="auto"/>
          <w:kern w:val="2"/>
          <w14:ligatures w14:val="standardContextual"/>
        </w:rPr>
      </w:pPr>
      <w:hyperlink w:anchor="_Toc231895210" w:history="1">
        <w:r w:rsidRPr="0095399A">
          <w:rPr>
            <w:rStyle w:val="Hyperlink"/>
            <w:noProof/>
          </w:rPr>
          <w:t>PART E</w:t>
        </w:r>
        <w:r>
          <w:rPr>
            <w:noProof/>
            <w:webHidden/>
          </w:rPr>
          <w:tab/>
        </w:r>
        <w:r>
          <w:rPr>
            <w:noProof/>
            <w:webHidden/>
          </w:rPr>
          <w:fldChar w:fldCharType="begin"/>
        </w:r>
        <w:r>
          <w:rPr>
            <w:noProof/>
            <w:webHidden/>
          </w:rPr>
          <w:instrText xml:space="preserve"> PAGEREF _Toc231895210 \h </w:instrText>
        </w:r>
        <w:r>
          <w:rPr>
            <w:noProof/>
            <w:webHidden/>
          </w:rPr>
        </w:r>
        <w:r>
          <w:rPr>
            <w:noProof/>
            <w:webHidden/>
          </w:rPr>
          <w:fldChar w:fldCharType="separate"/>
        </w:r>
        <w:r w:rsidR="00F97260">
          <w:rPr>
            <w:noProof/>
            <w:webHidden/>
          </w:rPr>
          <w:t>63</w:t>
        </w:r>
        <w:r>
          <w:rPr>
            <w:noProof/>
            <w:webHidden/>
          </w:rPr>
          <w:fldChar w:fldCharType="end"/>
        </w:r>
      </w:hyperlink>
    </w:p>
    <w:p w14:paraId="0967A2D1" w14:textId="585E1688" w:rsidR="009F778D" w:rsidRDefault="009F778D">
      <w:pPr>
        <w:pStyle w:val="TOC2"/>
        <w:tabs>
          <w:tab w:val="right" w:leader="dot" w:pos="9016"/>
        </w:tabs>
        <w:rPr>
          <w:rFonts w:asciiTheme="minorHAnsi" w:eastAsiaTheme="minorEastAsia" w:hAnsiTheme="minorHAnsi" w:cstheme="minorBidi"/>
          <w:bCs w:val="0"/>
          <w:noProof/>
          <w:color w:val="auto"/>
          <w:kern w:val="2"/>
          <w:sz w:val="24"/>
          <w:szCs w:val="24"/>
          <w14:ligatures w14:val="standardContextual"/>
        </w:rPr>
      </w:pPr>
      <w:hyperlink w:anchor="_Toc231895211" w:history="1">
        <w:r w:rsidRPr="0095399A">
          <w:rPr>
            <w:rStyle w:val="Hyperlink"/>
            <w:noProof/>
          </w:rPr>
          <w:t>OPERATIONALISING PRIVACY</w:t>
        </w:r>
        <w:r>
          <w:rPr>
            <w:noProof/>
            <w:webHidden/>
          </w:rPr>
          <w:tab/>
        </w:r>
        <w:r>
          <w:rPr>
            <w:noProof/>
            <w:webHidden/>
          </w:rPr>
          <w:fldChar w:fldCharType="begin"/>
        </w:r>
        <w:r>
          <w:rPr>
            <w:noProof/>
            <w:webHidden/>
          </w:rPr>
          <w:instrText xml:space="preserve"> PAGEREF _Toc231895211 \h </w:instrText>
        </w:r>
        <w:r>
          <w:rPr>
            <w:noProof/>
            <w:webHidden/>
          </w:rPr>
        </w:r>
        <w:r>
          <w:rPr>
            <w:noProof/>
            <w:webHidden/>
          </w:rPr>
          <w:fldChar w:fldCharType="separate"/>
        </w:r>
        <w:r w:rsidR="00F97260">
          <w:rPr>
            <w:noProof/>
            <w:webHidden/>
          </w:rPr>
          <w:t>63</w:t>
        </w:r>
        <w:r>
          <w:rPr>
            <w:noProof/>
            <w:webHidden/>
          </w:rPr>
          <w:fldChar w:fldCharType="end"/>
        </w:r>
      </w:hyperlink>
    </w:p>
    <w:p w14:paraId="67DDEA30" w14:textId="27559412" w:rsidR="009F778D" w:rsidRDefault="009F778D">
      <w:pPr>
        <w:pStyle w:val="TOC3"/>
        <w:tabs>
          <w:tab w:val="left" w:pos="1710"/>
        </w:tabs>
        <w:rPr>
          <w:rFonts w:asciiTheme="minorHAnsi" w:eastAsiaTheme="minorEastAsia" w:hAnsiTheme="minorHAnsi" w:cstheme="minorBidi"/>
          <w:noProof/>
          <w:color w:val="auto"/>
          <w:kern w:val="2"/>
          <w:sz w:val="24"/>
          <w:szCs w:val="24"/>
          <w14:ligatures w14:val="standardContextual"/>
        </w:rPr>
      </w:pPr>
      <w:hyperlink w:anchor="_Toc231895212" w:history="1">
        <w:r w:rsidRPr="0095399A">
          <w:rPr>
            <w:rStyle w:val="Hyperlink"/>
            <w:noProof/>
          </w:rPr>
          <w:t>Chapter 14:</w:t>
        </w:r>
        <w:r>
          <w:rPr>
            <w:rFonts w:asciiTheme="minorHAnsi" w:eastAsiaTheme="minorEastAsia" w:hAnsiTheme="minorHAnsi" w:cstheme="minorBidi"/>
            <w:noProof/>
            <w:color w:val="auto"/>
            <w:kern w:val="2"/>
            <w:sz w:val="24"/>
            <w:szCs w:val="24"/>
            <w14:ligatures w14:val="standardContextual"/>
          </w:rPr>
          <w:tab/>
        </w:r>
        <w:r w:rsidRPr="0095399A">
          <w:rPr>
            <w:rStyle w:val="Hyperlink"/>
            <w:noProof/>
          </w:rPr>
          <w:t>Security Measures</w:t>
        </w:r>
        <w:r>
          <w:rPr>
            <w:noProof/>
            <w:webHidden/>
          </w:rPr>
          <w:tab/>
        </w:r>
        <w:r>
          <w:rPr>
            <w:noProof/>
            <w:webHidden/>
          </w:rPr>
          <w:fldChar w:fldCharType="begin"/>
        </w:r>
        <w:r>
          <w:rPr>
            <w:noProof/>
            <w:webHidden/>
          </w:rPr>
          <w:instrText xml:space="preserve"> PAGEREF _Toc231895212 \h </w:instrText>
        </w:r>
        <w:r>
          <w:rPr>
            <w:noProof/>
            <w:webHidden/>
          </w:rPr>
        </w:r>
        <w:r>
          <w:rPr>
            <w:noProof/>
            <w:webHidden/>
          </w:rPr>
          <w:fldChar w:fldCharType="separate"/>
        </w:r>
        <w:r w:rsidR="00F97260">
          <w:rPr>
            <w:noProof/>
            <w:webHidden/>
          </w:rPr>
          <w:t>63</w:t>
        </w:r>
        <w:r>
          <w:rPr>
            <w:noProof/>
            <w:webHidden/>
          </w:rPr>
          <w:fldChar w:fldCharType="end"/>
        </w:r>
      </w:hyperlink>
    </w:p>
    <w:p w14:paraId="476E3177" w14:textId="35C0074E"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13" w:history="1">
        <w:r w:rsidRPr="0095399A">
          <w:rPr>
            <w:rStyle w:val="Hyperlink"/>
            <w:noProof/>
          </w:rPr>
          <w:t>14.1.</w:t>
        </w:r>
        <w:r>
          <w:rPr>
            <w:rFonts w:asciiTheme="minorHAnsi" w:eastAsiaTheme="minorEastAsia" w:hAnsiTheme="minorHAnsi" w:cstheme="minorBidi"/>
            <w:noProof/>
            <w:kern w:val="2"/>
            <w:sz w:val="24"/>
            <w:szCs w:val="24"/>
            <w14:ligatures w14:val="standardContextual"/>
          </w:rPr>
          <w:tab/>
        </w:r>
        <w:r w:rsidRPr="0095399A">
          <w:rPr>
            <w:rStyle w:val="Hyperlink"/>
            <w:noProof/>
          </w:rPr>
          <w:t>The 'Reasonable Steps' Standard for Security</w:t>
        </w:r>
        <w:r>
          <w:rPr>
            <w:noProof/>
            <w:webHidden/>
          </w:rPr>
          <w:tab/>
        </w:r>
        <w:r>
          <w:rPr>
            <w:noProof/>
            <w:webHidden/>
          </w:rPr>
          <w:fldChar w:fldCharType="begin"/>
        </w:r>
        <w:r>
          <w:rPr>
            <w:noProof/>
            <w:webHidden/>
          </w:rPr>
          <w:instrText xml:space="preserve"> PAGEREF _Toc231895213 \h </w:instrText>
        </w:r>
        <w:r>
          <w:rPr>
            <w:noProof/>
            <w:webHidden/>
          </w:rPr>
        </w:r>
        <w:r>
          <w:rPr>
            <w:noProof/>
            <w:webHidden/>
          </w:rPr>
          <w:fldChar w:fldCharType="separate"/>
        </w:r>
        <w:r w:rsidR="00F97260">
          <w:rPr>
            <w:noProof/>
            <w:webHidden/>
          </w:rPr>
          <w:t>63</w:t>
        </w:r>
        <w:r>
          <w:rPr>
            <w:noProof/>
            <w:webHidden/>
          </w:rPr>
          <w:fldChar w:fldCharType="end"/>
        </w:r>
      </w:hyperlink>
    </w:p>
    <w:p w14:paraId="696C9000" w14:textId="4A4D46CD"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14" w:history="1">
        <w:r w:rsidRPr="0095399A">
          <w:rPr>
            <w:rStyle w:val="Hyperlink"/>
            <w:noProof/>
          </w:rPr>
          <w:t>14.2.</w:t>
        </w:r>
        <w:r>
          <w:rPr>
            <w:rFonts w:asciiTheme="minorHAnsi" w:eastAsiaTheme="minorEastAsia" w:hAnsiTheme="minorHAnsi" w:cstheme="minorBidi"/>
            <w:noProof/>
            <w:kern w:val="2"/>
            <w:sz w:val="24"/>
            <w:szCs w:val="24"/>
            <w14:ligatures w14:val="standardContextual"/>
          </w:rPr>
          <w:tab/>
        </w:r>
        <w:r w:rsidRPr="0095399A">
          <w:rPr>
            <w:rStyle w:val="Hyperlink"/>
            <w:noProof/>
          </w:rPr>
          <w:t>Governance and Accountability</w:t>
        </w:r>
        <w:r>
          <w:rPr>
            <w:noProof/>
            <w:webHidden/>
          </w:rPr>
          <w:tab/>
        </w:r>
        <w:r>
          <w:rPr>
            <w:noProof/>
            <w:webHidden/>
          </w:rPr>
          <w:fldChar w:fldCharType="begin"/>
        </w:r>
        <w:r>
          <w:rPr>
            <w:noProof/>
            <w:webHidden/>
          </w:rPr>
          <w:instrText xml:space="preserve"> PAGEREF _Toc231895214 \h </w:instrText>
        </w:r>
        <w:r>
          <w:rPr>
            <w:noProof/>
            <w:webHidden/>
          </w:rPr>
        </w:r>
        <w:r>
          <w:rPr>
            <w:noProof/>
            <w:webHidden/>
          </w:rPr>
          <w:fldChar w:fldCharType="separate"/>
        </w:r>
        <w:r w:rsidR="00F97260">
          <w:rPr>
            <w:noProof/>
            <w:webHidden/>
          </w:rPr>
          <w:t>63</w:t>
        </w:r>
        <w:r>
          <w:rPr>
            <w:noProof/>
            <w:webHidden/>
          </w:rPr>
          <w:fldChar w:fldCharType="end"/>
        </w:r>
      </w:hyperlink>
    </w:p>
    <w:p w14:paraId="04DD2DD0" w14:textId="11D58D80"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15" w:history="1">
        <w:r w:rsidRPr="0095399A">
          <w:rPr>
            <w:rStyle w:val="Hyperlink"/>
            <w:noProof/>
          </w:rPr>
          <w:t>14.3.</w:t>
        </w:r>
        <w:r>
          <w:rPr>
            <w:rFonts w:asciiTheme="minorHAnsi" w:eastAsiaTheme="minorEastAsia" w:hAnsiTheme="minorHAnsi" w:cstheme="minorBidi"/>
            <w:noProof/>
            <w:kern w:val="2"/>
            <w:sz w:val="24"/>
            <w:szCs w:val="24"/>
            <w14:ligatures w14:val="standardContextual"/>
          </w:rPr>
          <w:tab/>
        </w:r>
        <w:r w:rsidRPr="0095399A">
          <w:rPr>
            <w:rStyle w:val="Hyperlink"/>
            <w:noProof/>
          </w:rPr>
          <w:t>Technical Security Measures</w:t>
        </w:r>
        <w:r>
          <w:rPr>
            <w:noProof/>
            <w:webHidden/>
          </w:rPr>
          <w:tab/>
        </w:r>
        <w:r>
          <w:rPr>
            <w:noProof/>
            <w:webHidden/>
          </w:rPr>
          <w:fldChar w:fldCharType="begin"/>
        </w:r>
        <w:r>
          <w:rPr>
            <w:noProof/>
            <w:webHidden/>
          </w:rPr>
          <w:instrText xml:space="preserve"> PAGEREF _Toc231895215 \h </w:instrText>
        </w:r>
        <w:r>
          <w:rPr>
            <w:noProof/>
            <w:webHidden/>
          </w:rPr>
        </w:r>
        <w:r>
          <w:rPr>
            <w:noProof/>
            <w:webHidden/>
          </w:rPr>
          <w:fldChar w:fldCharType="separate"/>
        </w:r>
        <w:r w:rsidR="00F97260">
          <w:rPr>
            <w:noProof/>
            <w:webHidden/>
          </w:rPr>
          <w:t>64</w:t>
        </w:r>
        <w:r>
          <w:rPr>
            <w:noProof/>
            <w:webHidden/>
          </w:rPr>
          <w:fldChar w:fldCharType="end"/>
        </w:r>
      </w:hyperlink>
    </w:p>
    <w:p w14:paraId="343347ED" w14:textId="10224147"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16" w:history="1">
        <w:r w:rsidRPr="0095399A">
          <w:rPr>
            <w:rStyle w:val="Hyperlink"/>
            <w:noProof/>
          </w:rPr>
          <w:t>14.4.</w:t>
        </w:r>
        <w:r>
          <w:rPr>
            <w:rFonts w:asciiTheme="minorHAnsi" w:eastAsiaTheme="minorEastAsia" w:hAnsiTheme="minorHAnsi" w:cstheme="minorBidi"/>
            <w:noProof/>
            <w:kern w:val="2"/>
            <w:sz w:val="24"/>
            <w:szCs w:val="24"/>
            <w14:ligatures w14:val="standardContextual"/>
          </w:rPr>
          <w:tab/>
        </w:r>
        <w:r w:rsidRPr="0095399A">
          <w:rPr>
            <w:rStyle w:val="Hyperlink"/>
            <w:noProof/>
          </w:rPr>
          <w:t>Physical Security Measures</w:t>
        </w:r>
        <w:r>
          <w:rPr>
            <w:noProof/>
            <w:webHidden/>
          </w:rPr>
          <w:tab/>
        </w:r>
        <w:r>
          <w:rPr>
            <w:noProof/>
            <w:webHidden/>
          </w:rPr>
          <w:fldChar w:fldCharType="begin"/>
        </w:r>
        <w:r>
          <w:rPr>
            <w:noProof/>
            <w:webHidden/>
          </w:rPr>
          <w:instrText xml:space="preserve"> PAGEREF _Toc231895216 \h </w:instrText>
        </w:r>
        <w:r>
          <w:rPr>
            <w:noProof/>
            <w:webHidden/>
          </w:rPr>
        </w:r>
        <w:r>
          <w:rPr>
            <w:noProof/>
            <w:webHidden/>
          </w:rPr>
          <w:fldChar w:fldCharType="separate"/>
        </w:r>
        <w:r w:rsidR="00F97260">
          <w:rPr>
            <w:noProof/>
            <w:webHidden/>
          </w:rPr>
          <w:t>65</w:t>
        </w:r>
        <w:r>
          <w:rPr>
            <w:noProof/>
            <w:webHidden/>
          </w:rPr>
          <w:fldChar w:fldCharType="end"/>
        </w:r>
      </w:hyperlink>
    </w:p>
    <w:p w14:paraId="2E5B0DE4" w14:textId="5D9A2A05"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17" w:history="1">
        <w:r w:rsidRPr="0095399A">
          <w:rPr>
            <w:rStyle w:val="Hyperlink"/>
            <w:noProof/>
          </w:rPr>
          <w:t>14.5.</w:t>
        </w:r>
        <w:r>
          <w:rPr>
            <w:rFonts w:asciiTheme="minorHAnsi" w:eastAsiaTheme="minorEastAsia" w:hAnsiTheme="minorHAnsi" w:cstheme="minorBidi"/>
            <w:noProof/>
            <w:kern w:val="2"/>
            <w:sz w:val="24"/>
            <w:szCs w:val="24"/>
            <w14:ligatures w14:val="standardContextual"/>
          </w:rPr>
          <w:tab/>
        </w:r>
        <w:r w:rsidRPr="0095399A">
          <w:rPr>
            <w:rStyle w:val="Hyperlink"/>
            <w:noProof/>
          </w:rPr>
          <w:t>Personnel Security Measures</w:t>
        </w:r>
        <w:r>
          <w:rPr>
            <w:noProof/>
            <w:webHidden/>
          </w:rPr>
          <w:tab/>
        </w:r>
        <w:r>
          <w:rPr>
            <w:noProof/>
            <w:webHidden/>
          </w:rPr>
          <w:fldChar w:fldCharType="begin"/>
        </w:r>
        <w:r>
          <w:rPr>
            <w:noProof/>
            <w:webHidden/>
          </w:rPr>
          <w:instrText xml:space="preserve"> PAGEREF _Toc231895217 \h </w:instrText>
        </w:r>
        <w:r>
          <w:rPr>
            <w:noProof/>
            <w:webHidden/>
          </w:rPr>
        </w:r>
        <w:r>
          <w:rPr>
            <w:noProof/>
            <w:webHidden/>
          </w:rPr>
          <w:fldChar w:fldCharType="separate"/>
        </w:r>
        <w:r w:rsidR="00F97260">
          <w:rPr>
            <w:noProof/>
            <w:webHidden/>
          </w:rPr>
          <w:t>65</w:t>
        </w:r>
        <w:r>
          <w:rPr>
            <w:noProof/>
            <w:webHidden/>
          </w:rPr>
          <w:fldChar w:fldCharType="end"/>
        </w:r>
      </w:hyperlink>
    </w:p>
    <w:p w14:paraId="76309F8B" w14:textId="1D0F7D35" w:rsidR="009F778D" w:rsidRDefault="009F778D">
      <w:pPr>
        <w:pStyle w:val="TOC3"/>
        <w:tabs>
          <w:tab w:val="left" w:pos="1710"/>
        </w:tabs>
        <w:rPr>
          <w:rFonts w:asciiTheme="minorHAnsi" w:eastAsiaTheme="minorEastAsia" w:hAnsiTheme="minorHAnsi" w:cstheme="minorBidi"/>
          <w:noProof/>
          <w:color w:val="auto"/>
          <w:kern w:val="2"/>
          <w:sz w:val="24"/>
          <w:szCs w:val="24"/>
          <w14:ligatures w14:val="standardContextual"/>
        </w:rPr>
      </w:pPr>
      <w:hyperlink w:anchor="_Toc231895218" w:history="1">
        <w:r w:rsidRPr="0095399A">
          <w:rPr>
            <w:rStyle w:val="Hyperlink"/>
            <w:noProof/>
          </w:rPr>
          <w:t>Chapter 15:</w:t>
        </w:r>
        <w:r>
          <w:rPr>
            <w:rFonts w:asciiTheme="minorHAnsi" w:eastAsiaTheme="minorEastAsia" w:hAnsiTheme="minorHAnsi" w:cstheme="minorBidi"/>
            <w:noProof/>
            <w:color w:val="auto"/>
            <w:kern w:val="2"/>
            <w:sz w:val="24"/>
            <w:szCs w:val="24"/>
            <w14:ligatures w14:val="standardContextual"/>
          </w:rPr>
          <w:tab/>
        </w:r>
        <w:r w:rsidRPr="0095399A">
          <w:rPr>
            <w:rStyle w:val="Hyperlink"/>
            <w:noProof/>
          </w:rPr>
          <w:t>Breach Response</w:t>
        </w:r>
        <w:r>
          <w:rPr>
            <w:noProof/>
            <w:webHidden/>
          </w:rPr>
          <w:tab/>
        </w:r>
        <w:r>
          <w:rPr>
            <w:noProof/>
            <w:webHidden/>
          </w:rPr>
          <w:fldChar w:fldCharType="begin"/>
        </w:r>
        <w:r>
          <w:rPr>
            <w:noProof/>
            <w:webHidden/>
          </w:rPr>
          <w:instrText xml:space="preserve"> PAGEREF _Toc231895218 \h </w:instrText>
        </w:r>
        <w:r>
          <w:rPr>
            <w:noProof/>
            <w:webHidden/>
          </w:rPr>
        </w:r>
        <w:r>
          <w:rPr>
            <w:noProof/>
            <w:webHidden/>
          </w:rPr>
          <w:fldChar w:fldCharType="separate"/>
        </w:r>
        <w:r w:rsidR="00F97260">
          <w:rPr>
            <w:noProof/>
            <w:webHidden/>
          </w:rPr>
          <w:t>66</w:t>
        </w:r>
        <w:r>
          <w:rPr>
            <w:noProof/>
            <w:webHidden/>
          </w:rPr>
          <w:fldChar w:fldCharType="end"/>
        </w:r>
      </w:hyperlink>
    </w:p>
    <w:p w14:paraId="42658EC8" w14:textId="098321CB"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19" w:history="1">
        <w:r w:rsidRPr="0095399A">
          <w:rPr>
            <w:rStyle w:val="Hyperlink"/>
            <w:noProof/>
          </w:rPr>
          <w:t>15.1.</w:t>
        </w:r>
        <w:r>
          <w:rPr>
            <w:rFonts w:asciiTheme="minorHAnsi" w:eastAsiaTheme="minorEastAsia" w:hAnsiTheme="minorHAnsi" w:cstheme="minorBidi"/>
            <w:noProof/>
            <w:kern w:val="2"/>
            <w:sz w:val="24"/>
            <w:szCs w:val="24"/>
            <w14:ligatures w14:val="standardContextual"/>
          </w:rPr>
          <w:tab/>
        </w:r>
        <w:r w:rsidRPr="0095399A">
          <w:rPr>
            <w:rStyle w:val="Hyperlink"/>
            <w:noProof/>
          </w:rPr>
          <w:t>What is an Eligible Data Breach?</w:t>
        </w:r>
        <w:r>
          <w:rPr>
            <w:noProof/>
            <w:webHidden/>
          </w:rPr>
          <w:tab/>
        </w:r>
        <w:r>
          <w:rPr>
            <w:noProof/>
            <w:webHidden/>
          </w:rPr>
          <w:fldChar w:fldCharType="begin"/>
        </w:r>
        <w:r>
          <w:rPr>
            <w:noProof/>
            <w:webHidden/>
          </w:rPr>
          <w:instrText xml:space="preserve"> PAGEREF _Toc231895219 \h </w:instrText>
        </w:r>
        <w:r>
          <w:rPr>
            <w:noProof/>
            <w:webHidden/>
          </w:rPr>
        </w:r>
        <w:r>
          <w:rPr>
            <w:noProof/>
            <w:webHidden/>
          </w:rPr>
          <w:fldChar w:fldCharType="separate"/>
        </w:r>
        <w:r w:rsidR="00F97260">
          <w:rPr>
            <w:noProof/>
            <w:webHidden/>
          </w:rPr>
          <w:t>66</w:t>
        </w:r>
        <w:r>
          <w:rPr>
            <w:noProof/>
            <w:webHidden/>
          </w:rPr>
          <w:fldChar w:fldCharType="end"/>
        </w:r>
      </w:hyperlink>
    </w:p>
    <w:p w14:paraId="4D236F17" w14:textId="474101A7"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20" w:history="1">
        <w:r w:rsidRPr="0095399A">
          <w:rPr>
            <w:rStyle w:val="Hyperlink"/>
            <w:noProof/>
          </w:rPr>
          <w:t>15.2.</w:t>
        </w:r>
        <w:r>
          <w:rPr>
            <w:rFonts w:asciiTheme="minorHAnsi" w:eastAsiaTheme="minorEastAsia" w:hAnsiTheme="minorHAnsi" w:cstheme="minorBidi"/>
            <w:noProof/>
            <w:kern w:val="2"/>
            <w:sz w:val="24"/>
            <w:szCs w:val="24"/>
            <w14:ligatures w14:val="standardContextual"/>
          </w:rPr>
          <w:tab/>
        </w:r>
        <w:r w:rsidRPr="0095399A">
          <w:rPr>
            <w:rStyle w:val="Hyperlink"/>
            <w:noProof/>
          </w:rPr>
          <w:t>The Four-Step Response Process</w:t>
        </w:r>
        <w:r>
          <w:rPr>
            <w:noProof/>
            <w:webHidden/>
          </w:rPr>
          <w:tab/>
        </w:r>
        <w:r>
          <w:rPr>
            <w:noProof/>
            <w:webHidden/>
          </w:rPr>
          <w:fldChar w:fldCharType="begin"/>
        </w:r>
        <w:r>
          <w:rPr>
            <w:noProof/>
            <w:webHidden/>
          </w:rPr>
          <w:instrText xml:space="preserve"> PAGEREF _Toc231895220 \h </w:instrText>
        </w:r>
        <w:r>
          <w:rPr>
            <w:noProof/>
            <w:webHidden/>
          </w:rPr>
        </w:r>
        <w:r>
          <w:rPr>
            <w:noProof/>
            <w:webHidden/>
          </w:rPr>
          <w:fldChar w:fldCharType="separate"/>
        </w:r>
        <w:r w:rsidR="00F97260">
          <w:rPr>
            <w:noProof/>
            <w:webHidden/>
          </w:rPr>
          <w:t>67</w:t>
        </w:r>
        <w:r>
          <w:rPr>
            <w:noProof/>
            <w:webHidden/>
          </w:rPr>
          <w:fldChar w:fldCharType="end"/>
        </w:r>
      </w:hyperlink>
    </w:p>
    <w:p w14:paraId="6369966D" w14:textId="48399B42"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21" w:history="1">
        <w:r w:rsidRPr="0095399A">
          <w:rPr>
            <w:rStyle w:val="Hyperlink"/>
            <w:noProof/>
          </w:rPr>
          <w:t>15.3.</w:t>
        </w:r>
        <w:r>
          <w:rPr>
            <w:rFonts w:asciiTheme="minorHAnsi" w:eastAsiaTheme="minorEastAsia" w:hAnsiTheme="minorHAnsi" w:cstheme="minorBidi"/>
            <w:noProof/>
            <w:kern w:val="2"/>
            <w:sz w:val="24"/>
            <w:szCs w:val="24"/>
            <w14:ligatures w14:val="standardContextual"/>
          </w:rPr>
          <w:tab/>
        </w:r>
        <w:r w:rsidRPr="0095399A">
          <w:rPr>
            <w:rStyle w:val="Hyperlink"/>
            <w:noProof/>
          </w:rPr>
          <w:t>The 30-Day Assessment Period</w:t>
        </w:r>
        <w:r>
          <w:rPr>
            <w:noProof/>
            <w:webHidden/>
          </w:rPr>
          <w:tab/>
        </w:r>
        <w:r>
          <w:rPr>
            <w:noProof/>
            <w:webHidden/>
          </w:rPr>
          <w:fldChar w:fldCharType="begin"/>
        </w:r>
        <w:r>
          <w:rPr>
            <w:noProof/>
            <w:webHidden/>
          </w:rPr>
          <w:instrText xml:space="preserve"> PAGEREF _Toc231895221 \h </w:instrText>
        </w:r>
        <w:r>
          <w:rPr>
            <w:noProof/>
            <w:webHidden/>
          </w:rPr>
        </w:r>
        <w:r>
          <w:rPr>
            <w:noProof/>
            <w:webHidden/>
          </w:rPr>
          <w:fldChar w:fldCharType="separate"/>
        </w:r>
        <w:r w:rsidR="00F97260">
          <w:rPr>
            <w:noProof/>
            <w:webHidden/>
          </w:rPr>
          <w:t>67</w:t>
        </w:r>
        <w:r>
          <w:rPr>
            <w:noProof/>
            <w:webHidden/>
          </w:rPr>
          <w:fldChar w:fldCharType="end"/>
        </w:r>
      </w:hyperlink>
    </w:p>
    <w:p w14:paraId="64BCC1F7" w14:textId="335788E9"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22" w:history="1">
        <w:r w:rsidRPr="0095399A">
          <w:rPr>
            <w:rStyle w:val="Hyperlink"/>
            <w:noProof/>
          </w:rPr>
          <w:t>15.4.</w:t>
        </w:r>
        <w:r>
          <w:rPr>
            <w:rFonts w:asciiTheme="minorHAnsi" w:eastAsiaTheme="minorEastAsia" w:hAnsiTheme="minorHAnsi" w:cstheme="minorBidi"/>
            <w:noProof/>
            <w:kern w:val="2"/>
            <w:sz w:val="24"/>
            <w:szCs w:val="24"/>
            <w14:ligatures w14:val="standardContextual"/>
          </w:rPr>
          <w:tab/>
        </w:r>
        <w:r w:rsidRPr="0095399A">
          <w:rPr>
            <w:rStyle w:val="Hyperlink"/>
            <w:noProof/>
          </w:rPr>
          <w:t>Notification Requirements</w:t>
        </w:r>
        <w:r>
          <w:rPr>
            <w:noProof/>
            <w:webHidden/>
          </w:rPr>
          <w:tab/>
        </w:r>
        <w:r>
          <w:rPr>
            <w:noProof/>
            <w:webHidden/>
          </w:rPr>
          <w:fldChar w:fldCharType="begin"/>
        </w:r>
        <w:r>
          <w:rPr>
            <w:noProof/>
            <w:webHidden/>
          </w:rPr>
          <w:instrText xml:space="preserve"> PAGEREF _Toc231895222 \h </w:instrText>
        </w:r>
        <w:r>
          <w:rPr>
            <w:noProof/>
            <w:webHidden/>
          </w:rPr>
        </w:r>
        <w:r>
          <w:rPr>
            <w:noProof/>
            <w:webHidden/>
          </w:rPr>
          <w:fldChar w:fldCharType="separate"/>
        </w:r>
        <w:r w:rsidR="00F97260">
          <w:rPr>
            <w:noProof/>
            <w:webHidden/>
          </w:rPr>
          <w:t>68</w:t>
        </w:r>
        <w:r>
          <w:rPr>
            <w:noProof/>
            <w:webHidden/>
          </w:rPr>
          <w:fldChar w:fldCharType="end"/>
        </w:r>
      </w:hyperlink>
    </w:p>
    <w:p w14:paraId="386A0FED" w14:textId="781B3514"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23" w:history="1">
        <w:r w:rsidRPr="0095399A">
          <w:rPr>
            <w:rStyle w:val="Hyperlink"/>
            <w:noProof/>
          </w:rPr>
          <w:t>15.5.</w:t>
        </w:r>
        <w:r>
          <w:rPr>
            <w:rFonts w:asciiTheme="minorHAnsi" w:eastAsiaTheme="minorEastAsia" w:hAnsiTheme="minorHAnsi" w:cstheme="minorBidi"/>
            <w:noProof/>
            <w:kern w:val="2"/>
            <w:sz w:val="24"/>
            <w:szCs w:val="24"/>
            <w14:ligatures w14:val="standardContextual"/>
          </w:rPr>
          <w:tab/>
        </w:r>
        <w:r w:rsidRPr="0095399A">
          <w:rPr>
            <w:rStyle w:val="Hyperlink"/>
            <w:noProof/>
          </w:rPr>
          <w:t>Professional and Confidentiality Considerations</w:t>
        </w:r>
        <w:r>
          <w:rPr>
            <w:noProof/>
            <w:webHidden/>
          </w:rPr>
          <w:tab/>
        </w:r>
        <w:r>
          <w:rPr>
            <w:noProof/>
            <w:webHidden/>
          </w:rPr>
          <w:fldChar w:fldCharType="begin"/>
        </w:r>
        <w:r>
          <w:rPr>
            <w:noProof/>
            <w:webHidden/>
          </w:rPr>
          <w:instrText xml:space="preserve"> PAGEREF _Toc231895223 \h </w:instrText>
        </w:r>
        <w:r>
          <w:rPr>
            <w:noProof/>
            <w:webHidden/>
          </w:rPr>
        </w:r>
        <w:r>
          <w:rPr>
            <w:noProof/>
            <w:webHidden/>
          </w:rPr>
          <w:fldChar w:fldCharType="separate"/>
        </w:r>
        <w:r w:rsidR="00F97260">
          <w:rPr>
            <w:noProof/>
            <w:webHidden/>
          </w:rPr>
          <w:t>68</w:t>
        </w:r>
        <w:r>
          <w:rPr>
            <w:noProof/>
            <w:webHidden/>
          </w:rPr>
          <w:fldChar w:fldCharType="end"/>
        </w:r>
      </w:hyperlink>
    </w:p>
    <w:p w14:paraId="57F1BFDA" w14:textId="3FAA7D4E"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24" w:history="1">
        <w:r w:rsidRPr="0095399A">
          <w:rPr>
            <w:rStyle w:val="Hyperlink"/>
            <w:noProof/>
          </w:rPr>
          <w:t>15.6.</w:t>
        </w:r>
        <w:r>
          <w:rPr>
            <w:rFonts w:asciiTheme="minorHAnsi" w:eastAsiaTheme="minorEastAsia" w:hAnsiTheme="minorHAnsi" w:cstheme="minorBidi"/>
            <w:noProof/>
            <w:kern w:val="2"/>
            <w:sz w:val="24"/>
            <w:szCs w:val="24"/>
            <w14:ligatures w14:val="standardContextual"/>
          </w:rPr>
          <w:tab/>
        </w:r>
        <w:r w:rsidRPr="0095399A">
          <w:rPr>
            <w:rStyle w:val="Hyperlink"/>
            <w:noProof/>
          </w:rPr>
          <w:t>Using the Breach Response Plan</w:t>
        </w:r>
        <w:r>
          <w:rPr>
            <w:noProof/>
            <w:webHidden/>
          </w:rPr>
          <w:tab/>
        </w:r>
        <w:r>
          <w:rPr>
            <w:noProof/>
            <w:webHidden/>
          </w:rPr>
          <w:fldChar w:fldCharType="begin"/>
        </w:r>
        <w:r>
          <w:rPr>
            <w:noProof/>
            <w:webHidden/>
          </w:rPr>
          <w:instrText xml:space="preserve"> PAGEREF _Toc231895224 \h </w:instrText>
        </w:r>
        <w:r>
          <w:rPr>
            <w:noProof/>
            <w:webHidden/>
          </w:rPr>
        </w:r>
        <w:r>
          <w:rPr>
            <w:noProof/>
            <w:webHidden/>
          </w:rPr>
          <w:fldChar w:fldCharType="separate"/>
        </w:r>
        <w:r w:rsidR="00F97260">
          <w:rPr>
            <w:noProof/>
            <w:webHidden/>
          </w:rPr>
          <w:t>70</w:t>
        </w:r>
        <w:r>
          <w:rPr>
            <w:noProof/>
            <w:webHidden/>
          </w:rPr>
          <w:fldChar w:fldCharType="end"/>
        </w:r>
      </w:hyperlink>
    </w:p>
    <w:p w14:paraId="7059F658" w14:textId="34C180FB" w:rsidR="009F778D" w:rsidRDefault="009F778D">
      <w:pPr>
        <w:pStyle w:val="TOC3"/>
        <w:tabs>
          <w:tab w:val="left" w:pos="1710"/>
        </w:tabs>
        <w:rPr>
          <w:rFonts w:asciiTheme="minorHAnsi" w:eastAsiaTheme="minorEastAsia" w:hAnsiTheme="minorHAnsi" w:cstheme="minorBidi"/>
          <w:noProof/>
          <w:color w:val="auto"/>
          <w:kern w:val="2"/>
          <w:sz w:val="24"/>
          <w:szCs w:val="24"/>
          <w14:ligatures w14:val="standardContextual"/>
        </w:rPr>
      </w:pPr>
      <w:hyperlink w:anchor="_Toc231895225" w:history="1">
        <w:r w:rsidRPr="0095399A">
          <w:rPr>
            <w:rStyle w:val="Hyperlink"/>
            <w:noProof/>
          </w:rPr>
          <w:t>Chapter 16:</w:t>
        </w:r>
        <w:r>
          <w:rPr>
            <w:rFonts w:asciiTheme="minorHAnsi" w:eastAsiaTheme="minorEastAsia" w:hAnsiTheme="minorHAnsi" w:cstheme="minorBidi"/>
            <w:noProof/>
            <w:color w:val="auto"/>
            <w:kern w:val="2"/>
            <w:sz w:val="24"/>
            <w:szCs w:val="24"/>
            <w14:ligatures w14:val="standardContextual"/>
          </w:rPr>
          <w:tab/>
        </w:r>
        <w:r w:rsidRPr="0095399A">
          <w:rPr>
            <w:rStyle w:val="Hyperlink"/>
            <w:noProof/>
          </w:rPr>
          <w:t>Handling Access and Correction Requests</w:t>
        </w:r>
        <w:r>
          <w:rPr>
            <w:noProof/>
            <w:webHidden/>
          </w:rPr>
          <w:tab/>
        </w:r>
        <w:r>
          <w:rPr>
            <w:noProof/>
            <w:webHidden/>
          </w:rPr>
          <w:fldChar w:fldCharType="begin"/>
        </w:r>
        <w:r>
          <w:rPr>
            <w:noProof/>
            <w:webHidden/>
          </w:rPr>
          <w:instrText xml:space="preserve"> PAGEREF _Toc231895225 \h </w:instrText>
        </w:r>
        <w:r>
          <w:rPr>
            <w:noProof/>
            <w:webHidden/>
          </w:rPr>
        </w:r>
        <w:r>
          <w:rPr>
            <w:noProof/>
            <w:webHidden/>
          </w:rPr>
          <w:fldChar w:fldCharType="separate"/>
        </w:r>
        <w:r w:rsidR="00F97260">
          <w:rPr>
            <w:noProof/>
            <w:webHidden/>
          </w:rPr>
          <w:t>71</w:t>
        </w:r>
        <w:r>
          <w:rPr>
            <w:noProof/>
            <w:webHidden/>
          </w:rPr>
          <w:fldChar w:fldCharType="end"/>
        </w:r>
      </w:hyperlink>
    </w:p>
    <w:p w14:paraId="464C7A3D" w14:textId="3D3903DE"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26" w:history="1">
        <w:r w:rsidRPr="0095399A">
          <w:rPr>
            <w:rStyle w:val="Hyperlink"/>
            <w:noProof/>
          </w:rPr>
          <w:t>16.1.</w:t>
        </w:r>
        <w:r>
          <w:rPr>
            <w:rFonts w:asciiTheme="minorHAnsi" w:eastAsiaTheme="minorEastAsia" w:hAnsiTheme="minorHAnsi" w:cstheme="minorBidi"/>
            <w:noProof/>
            <w:kern w:val="2"/>
            <w:sz w:val="24"/>
            <w:szCs w:val="24"/>
            <w14:ligatures w14:val="standardContextual"/>
          </w:rPr>
          <w:tab/>
        </w:r>
        <w:r w:rsidRPr="0095399A">
          <w:rPr>
            <w:rStyle w:val="Hyperlink"/>
            <w:noProof/>
          </w:rPr>
          <w:t>Recognising Access Requests</w:t>
        </w:r>
        <w:r>
          <w:rPr>
            <w:noProof/>
            <w:webHidden/>
          </w:rPr>
          <w:tab/>
        </w:r>
        <w:r>
          <w:rPr>
            <w:noProof/>
            <w:webHidden/>
          </w:rPr>
          <w:fldChar w:fldCharType="begin"/>
        </w:r>
        <w:r>
          <w:rPr>
            <w:noProof/>
            <w:webHidden/>
          </w:rPr>
          <w:instrText xml:space="preserve"> PAGEREF _Toc231895226 \h </w:instrText>
        </w:r>
        <w:r>
          <w:rPr>
            <w:noProof/>
            <w:webHidden/>
          </w:rPr>
        </w:r>
        <w:r>
          <w:rPr>
            <w:noProof/>
            <w:webHidden/>
          </w:rPr>
          <w:fldChar w:fldCharType="separate"/>
        </w:r>
        <w:r w:rsidR="00F97260">
          <w:rPr>
            <w:noProof/>
            <w:webHidden/>
          </w:rPr>
          <w:t>71</w:t>
        </w:r>
        <w:r>
          <w:rPr>
            <w:noProof/>
            <w:webHidden/>
          </w:rPr>
          <w:fldChar w:fldCharType="end"/>
        </w:r>
      </w:hyperlink>
    </w:p>
    <w:p w14:paraId="7EFA6221" w14:textId="3799E1BE"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27" w:history="1">
        <w:r w:rsidRPr="0095399A">
          <w:rPr>
            <w:rStyle w:val="Hyperlink"/>
            <w:noProof/>
          </w:rPr>
          <w:t>16.2.</w:t>
        </w:r>
        <w:r>
          <w:rPr>
            <w:rFonts w:asciiTheme="minorHAnsi" w:eastAsiaTheme="minorEastAsia" w:hAnsiTheme="minorHAnsi" w:cstheme="minorBidi"/>
            <w:noProof/>
            <w:kern w:val="2"/>
            <w:sz w:val="24"/>
            <w:szCs w:val="24"/>
            <w14:ligatures w14:val="standardContextual"/>
          </w:rPr>
          <w:tab/>
        </w:r>
        <w:r w:rsidRPr="0095399A">
          <w:rPr>
            <w:rStyle w:val="Hyperlink"/>
            <w:noProof/>
          </w:rPr>
          <w:t>Process for Handling Access Requests</w:t>
        </w:r>
        <w:r>
          <w:rPr>
            <w:noProof/>
            <w:webHidden/>
          </w:rPr>
          <w:tab/>
        </w:r>
        <w:r>
          <w:rPr>
            <w:noProof/>
            <w:webHidden/>
          </w:rPr>
          <w:fldChar w:fldCharType="begin"/>
        </w:r>
        <w:r>
          <w:rPr>
            <w:noProof/>
            <w:webHidden/>
          </w:rPr>
          <w:instrText xml:space="preserve"> PAGEREF _Toc231895227 \h </w:instrText>
        </w:r>
        <w:r>
          <w:rPr>
            <w:noProof/>
            <w:webHidden/>
          </w:rPr>
        </w:r>
        <w:r>
          <w:rPr>
            <w:noProof/>
            <w:webHidden/>
          </w:rPr>
          <w:fldChar w:fldCharType="separate"/>
        </w:r>
        <w:r w:rsidR="00F97260">
          <w:rPr>
            <w:noProof/>
            <w:webHidden/>
          </w:rPr>
          <w:t>71</w:t>
        </w:r>
        <w:r>
          <w:rPr>
            <w:noProof/>
            <w:webHidden/>
          </w:rPr>
          <w:fldChar w:fldCharType="end"/>
        </w:r>
      </w:hyperlink>
    </w:p>
    <w:p w14:paraId="6693825F" w14:textId="395D5039"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28" w:history="1">
        <w:r w:rsidRPr="0095399A">
          <w:rPr>
            <w:rStyle w:val="Hyperlink"/>
            <w:noProof/>
          </w:rPr>
          <w:t>16.3.</w:t>
        </w:r>
        <w:r>
          <w:rPr>
            <w:rFonts w:asciiTheme="minorHAnsi" w:eastAsiaTheme="minorEastAsia" w:hAnsiTheme="minorHAnsi" w:cstheme="minorBidi"/>
            <w:noProof/>
            <w:kern w:val="2"/>
            <w:sz w:val="24"/>
            <w:szCs w:val="24"/>
            <w14:ligatures w14:val="standardContextual"/>
          </w:rPr>
          <w:tab/>
        </w:r>
        <w:r w:rsidRPr="0095399A">
          <w:rPr>
            <w:rStyle w:val="Hyperlink"/>
            <w:noProof/>
          </w:rPr>
          <w:t>Exceptions to Access — Key Exceptions for Law Firms</w:t>
        </w:r>
        <w:r>
          <w:rPr>
            <w:noProof/>
            <w:webHidden/>
          </w:rPr>
          <w:tab/>
        </w:r>
        <w:r>
          <w:rPr>
            <w:noProof/>
            <w:webHidden/>
          </w:rPr>
          <w:fldChar w:fldCharType="begin"/>
        </w:r>
        <w:r>
          <w:rPr>
            <w:noProof/>
            <w:webHidden/>
          </w:rPr>
          <w:instrText xml:space="preserve"> PAGEREF _Toc231895228 \h </w:instrText>
        </w:r>
        <w:r>
          <w:rPr>
            <w:noProof/>
            <w:webHidden/>
          </w:rPr>
        </w:r>
        <w:r>
          <w:rPr>
            <w:noProof/>
            <w:webHidden/>
          </w:rPr>
          <w:fldChar w:fldCharType="separate"/>
        </w:r>
        <w:r w:rsidR="00F97260">
          <w:rPr>
            <w:noProof/>
            <w:webHidden/>
          </w:rPr>
          <w:t>72</w:t>
        </w:r>
        <w:r>
          <w:rPr>
            <w:noProof/>
            <w:webHidden/>
          </w:rPr>
          <w:fldChar w:fldCharType="end"/>
        </w:r>
      </w:hyperlink>
    </w:p>
    <w:p w14:paraId="43FD766A" w14:textId="3AB18BF3"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29" w:history="1">
        <w:r w:rsidRPr="0095399A">
          <w:rPr>
            <w:rStyle w:val="Hyperlink"/>
            <w:noProof/>
          </w:rPr>
          <w:t>16.4.</w:t>
        </w:r>
        <w:r>
          <w:rPr>
            <w:rFonts w:asciiTheme="minorHAnsi" w:eastAsiaTheme="minorEastAsia" w:hAnsiTheme="minorHAnsi" w:cstheme="minorBidi"/>
            <w:noProof/>
            <w:kern w:val="2"/>
            <w:sz w:val="24"/>
            <w:szCs w:val="24"/>
            <w14:ligatures w14:val="standardContextual"/>
          </w:rPr>
          <w:tab/>
        </w:r>
        <w:r w:rsidRPr="0095399A">
          <w:rPr>
            <w:rStyle w:val="Hyperlink"/>
            <w:noProof/>
          </w:rPr>
          <w:t>Refusing Access</w:t>
        </w:r>
        <w:r>
          <w:rPr>
            <w:noProof/>
            <w:webHidden/>
          </w:rPr>
          <w:tab/>
        </w:r>
        <w:r>
          <w:rPr>
            <w:noProof/>
            <w:webHidden/>
          </w:rPr>
          <w:fldChar w:fldCharType="begin"/>
        </w:r>
        <w:r>
          <w:rPr>
            <w:noProof/>
            <w:webHidden/>
          </w:rPr>
          <w:instrText xml:space="preserve"> PAGEREF _Toc231895229 \h </w:instrText>
        </w:r>
        <w:r>
          <w:rPr>
            <w:noProof/>
            <w:webHidden/>
          </w:rPr>
        </w:r>
        <w:r>
          <w:rPr>
            <w:noProof/>
            <w:webHidden/>
          </w:rPr>
          <w:fldChar w:fldCharType="separate"/>
        </w:r>
        <w:r w:rsidR="00F97260">
          <w:rPr>
            <w:noProof/>
            <w:webHidden/>
          </w:rPr>
          <w:t>72</w:t>
        </w:r>
        <w:r>
          <w:rPr>
            <w:noProof/>
            <w:webHidden/>
          </w:rPr>
          <w:fldChar w:fldCharType="end"/>
        </w:r>
      </w:hyperlink>
    </w:p>
    <w:p w14:paraId="6DB49CAB" w14:textId="28B5775A"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30" w:history="1">
        <w:r w:rsidRPr="0095399A">
          <w:rPr>
            <w:rStyle w:val="Hyperlink"/>
            <w:noProof/>
          </w:rPr>
          <w:t>16.5.</w:t>
        </w:r>
        <w:r>
          <w:rPr>
            <w:rFonts w:asciiTheme="minorHAnsi" w:eastAsiaTheme="minorEastAsia" w:hAnsiTheme="minorHAnsi" w:cstheme="minorBidi"/>
            <w:noProof/>
            <w:kern w:val="2"/>
            <w:sz w:val="24"/>
            <w:szCs w:val="24"/>
            <w14:ligatures w14:val="standardContextual"/>
          </w:rPr>
          <w:tab/>
        </w:r>
        <w:r w:rsidRPr="0095399A">
          <w:rPr>
            <w:rStyle w:val="Hyperlink"/>
            <w:noProof/>
          </w:rPr>
          <w:t>Handling Correction Requests</w:t>
        </w:r>
        <w:r>
          <w:rPr>
            <w:noProof/>
            <w:webHidden/>
          </w:rPr>
          <w:tab/>
        </w:r>
        <w:r>
          <w:rPr>
            <w:noProof/>
            <w:webHidden/>
          </w:rPr>
          <w:fldChar w:fldCharType="begin"/>
        </w:r>
        <w:r>
          <w:rPr>
            <w:noProof/>
            <w:webHidden/>
          </w:rPr>
          <w:instrText xml:space="preserve"> PAGEREF _Toc231895230 \h </w:instrText>
        </w:r>
        <w:r>
          <w:rPr>
            <w:noProof/>
            <w:webHidden/>
          </w:rPr>
        </w:r>
        <w:r>
          <w:rPr>
            <w:noProof/>
            <w:webHidden/>
          </w:rPr>
          <w:fldChar w:fldCharType="separate"/>
        </w:r>
        <w:r w:rsidR="00F97260">
          <w:rPr>
            <w:noProof/>
            <w:webHidden/>
          </w:rPr>
          <w:t>73</w:t>
        </w:r>
        <w:r>
          <w:rPr>
            <w:noProof/>
            <w:webHidden/>
          </w:rPr>
          <w:fldChar w:fldCharType="end"/>
        </w:r>
      </w:hyperlink>
    </w:p>
    <w:p w14:paraId="44EB35FF" w14:textId="0F964274"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31" w:history="1">
        <w:r w:rsidRPr="0095399A">
          <w:rPr>
            <w:rStyle w:val="Hyperlink"/>
            <w:noProof/>
          </w:rPr>
          <w:t>16.6.</w:t>
        </w:r>
        <w:r>
          <w:rPr>
            <w:rFonts w:asciiTheme="minorHAnsi" w:eastAsiaTheme="minorEastAsia" w:hAnsiTheme="minorHAnsi" w:cstheme="minorBidi"/>
            <w:noProof/>
            <w:kern w:val="2"/>
            <w:sz w:val="24"/>
            <w:szCs w:val="24"/>
            <w14:ligatures w14:val="standardContextual"/>
          </w:rPr>
          <w:tab/>
        </w:r>
        <w:r w:rsidRPr="0095399A">
          <w:rPr>
            <w:rStyle w:val="Hyperlink"/>
            <w:noProof/>
          </w:rPr>
          <w:t>Fees and Timeframes</w:t>
        </w:r>
        <w:r>
          <w:rPr>
            <w:noProof/>
            <w:webHidden/>
          </w:rPr>
          <w:tab/>
        </w:r>
        <w:r>
          <w:rPr>
            <w:noProof/>
            <w:webHidden/>
          </w:rPr>
          <w:fldChar w:fldCharType="begin"/>
        </w:r>
        <w:r>
          <w:rPr>
            <w:noProof/>
            <w:webHidden/>
          </w:rPr>
          <w:instrText xml:space="preserve"> PAGEREF _Toc231895231 \h </w:instrText>
        </w:r>
        <w:r>
          <w:rPr>
            <w:noProof/>
            <w:webHidden/>
          </w:rPr>
        </w:r>
        <w:r>
          <w:rPr>
            <w:noProof/>
            <w:webHidden/>
          </w:rPr>
          <w:fldChar w:fldCharType="separate"/>
        </w:r>
        <w:r w:rsidR="00F97260">
          <w:rPr>
            <w:noProof/>
            <w:webHidden/>
          </w:rPr>
          <w:t>73</w:t>
        </w:r>
        <w:r>
          <w:rPr>
            <w:noProof/>
            <w:webHidden/>
          </w:rPr>
          <w:fldChar w:fldCharType="end"/>
        </w:r>
      </w:hyperlink>
    </w:p>
    <w:p w14:paraId="0E834471" w14:textId="54ECBD31" w:rsidR="009F778D" w:rsidRDefault="009F778D">
      <w:pPr>
        <w:pStyle w:val="TOC3"/>
        <w:tabs>
          <w:tab w:val="left" w:pos="1710"/>
        </w:tabs>
        <w:rPr>
          <w:rFonts w:asciiTheme="minorHAnsi" w:eastAsiaTheme="minorEastAsia" w:hAnsiTheme="minorHAnsi" w:cstheme="minorBidi"/>
          <w:noProof/>
          <w:color w:val="auto"/>
          <w:kern w:val="2"/>
          <w:sz w:val="24"/>
          <w:szCs w:val="24"/>
          <w14:ligatures w14:val="standardContextual"/>
        </w:rPr>
      </w:pPr>
      <w:hyperlink w:anchor="_Toc231895232" w:history="1">
        <w:r w:rsidRPr="0095399A">
          <w:rPr>
            <w:rStyle w:val="Hyperlink"/>
            <w:noProof/>
          </w:rPr>
          <w:t>Chapter 17:</w:t>
        </w:r>
        <w:r>
          <w:rPr>
            <w:rFonts w:asciiTheme="minorHAnsi" w:eastAsiaTheme="minorEastAsia" w:hAnsiTheme="minorHAnsi" w:cstheme="minorBidi"/>
            <w:noProof/>
            <w:color w:val="auto"/>
            <w:kern w:val="2"/>
            <w:sz w:val="24"/>
            <w:szCs w:val="24"/>
            <w14:ligatures w14:val="standardContextual"/>
          </w:rPr>
          <w:tab/>
        </w:r>
        <w:r w:rsidRPr="0095399A">
          <w:rPr>
            <w:rStyle w:val="Hyperlink"/>
            <w:noProof/>
          </w:rPr>
          <w:t>Staff Training</w:t>
        </w:r>
        <w:r>
          <w:rPr>
            <w:noProof/>
            <w:webHidden/>
          </w:rPr>
          <w:tab/>
        </w:r>
        <w:r>
          <w:rPr>
            <w:noProof/>
            <w:webHidden/>
          </w:rPr>
          <w:fldChar w:fldCharType="begin"/>
        </w:r>
        <w:r>
          <w:rPr>
            <w:noProof/>
            <w:webHidden/>
          </w:rPr>
          <w:instrText xml:space="preserve"> PAGEREF _Toc231895232 \h </w:instrText>
        </w:r>
        <w:r>
          <w:rPr>
            <w:noProof/>
            <w:webHidden/>
          </w:rPr>
        </w:r>
        <w:r>
          <w:rPr>
            <w:noProof/>
            <w:webHidden/>
          </w:rPr>
          <w:fldChar w:fldCharType="separate"/>
        </w:r>
        <w:r w:rsidR="00F97260">
          <w:rPr>
            <w:noProof/>
            <w:webHidden/>
          </w:rPr>
          <w:t>74</w:t>
        </w:r>
        <w:r>
          <w:rPr>
            <w:noProof/>
            <w:webHidden/>
          </w:rPr>
          <w:fldChar w:fldCharType="end"/>
        </w:r>
      </w:hyperlink>
    </w:p>
    <w:p w14:paraId="5CE55D7E" w14:textId="6A78083F"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33" w:history="1">
        <w:r w:rsidRPr="0095399A">
          <w:rPr>
            <w:rStyle w:val="Hyperlink"/>
            <w:noProof/>
          </w:rPr>
          <w:t>17.1.</w:t>
        </w:r>
        <w:r>
          <w:rPr>
            <w:rFonts w:asciiTheme="minorHAnsi" w:eastAsiaTheme="minorEastAsia" w:hAnsiTheme="minorHAnsi" w:cstheme="minorBidi"/>
            <w:noProof/>
            <w:kern w:val="2"/>
            <w:sz w:val="24"/>
            <w:szCs w:val="24"/>
            <w14:ligatures w14:val="standardContextual"/>
          </w:rPr>
          <w:tab/>
        </w:r>
        <w:r w:rsidRPr="0095399A">
          <w:rPr>
            <w:rStyle w:val="Hyperlink"/>
            <w:noProof/>
          </w:rPr>
          <w:t>Who Needs Training</w:t>
        </w:r>
        <w:r>
          <w:rPr>
            <w:noProof/>
            <w:webHidden/>
          </w:rPr>
          <w:tab/>
        </w:r>
        <w:r>
          <w:rPr>
            <w:noProof/>
            <w:webHidden/>
          </w:rPr>
          <w:fldChar w:fldCharType="begin"/>
        </w:r>
        <w:r>
          <w:rPr>
            <w:noProof/>
            <w:webHidden/>
          </w:rPr>
          <w:instrText xml:space="preserve"> PAGEREF _Toc231895233 \h </w:instrText>
        </w:r>
        <w:r>
          <w:rPr>
            <w:noProof/>
            <w:webHidden/>
          </w:rPr>
        </w:r>
        <w:r>
          <w:rPr>
            <w:noProof/>
            <w:webHidden/>
          </w:rPr>
          <w:fldChar w:fldCharType="separate"/>
        </w:r>
        <w:r w:rsidR="00F97260">
          <w:rPr>
            <w:noProof/>
            <w:webHidden/>
          </w:rPr>
          <w:t>74</w:t>
        </w:r>
        <w:r>
          <w:rPr>
            <w:noProof/>
            <w:webHidden/>
          </w:rPr>
          <w:fldChar w:fldCharType="end"/>
        </w:r>
      </w:hyperlink>
    </w:p>
    <w:p w14:paraId="66409EAF" w14:textId="726BF852"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34" w:history="1">
        <w:r w:rsidRPr="0095399A">
          <w:rPr>
            <w:rStyle w:val="Hyperlink"/>
            <w:noProof/>
          </w:rPr>
          <w:t>17.2.</w:t>
        </w:r>
        <w:r>
          <w:rPr>
            <w:rFonts w:asciiTheme="minorHAnsi" w:eastAsiaTheme="minorEastAsia" w:hAnsiTheme="minorHAnsi" w:cstheme="minorBidi"/>
            <w:noProof/>
            <w:kern w:val="2"/>
            <w:sz w:val="24"/>
            <w:szCs w:val="24"/>
            <w14:ligatures w14:val="standardContextual"/>
          </w:rPr>
          <w:tab/>
        </w:r>
        <w:r w:rsidRPr="0095399A">
          <w:rPr>
            <w:rStyle w:val="Hyperlink"/>
            <w:noProof/>
          </w:rPr>
          <w:t>Core Training Content</w:t>
        </w:r>
        <w:r>
          <w:rPr>
            <w:noProof/>
            <w:webHidden/>
          </w:rPr>
          <w:tab/>
        </w:r>
        <w:r>
          <w:rPr>
            <w:noProof/>
            <w:webHidden/>
          </w:rPr>
          <w:fldChar w:fldCharType="begin"/>
        </w:r>
        <w:r>
          <w:rPr>
            <w:noProof/>
            <w:webHidden/>
          </w:rPr>
          <w:instrText xml:space="preserve"> PAGEREF _Toc231895234 \h </w:instrText>
        </w:r>
        <w:r>
          <w:rPr>
            <w:noProof/>
            <w:webHidden/>
          </w:rPr>
        </w:r>
        <w:r>
          <w:rPr>
            <w:noProof/>
            <w:webHidden/>
          </w:rPr>
          <w:fldChar w:fldCharType="separate"/>
        </w:r>
        <w:r w:rsidR="00F97260">
          <w:rPr>
            <w:noProof/>
            <w:webHidden/>
          </w:rPr>
          <w:t>75</w:t>
        </w:r>
        <w:r>
          <w:rPr>
            <w:noProof/>
            <w:webHidden/>
          </w:rPr>
          <w:fldChar w:fldCharType="end"/>
        </w:r>
      </w:hyperlink>
    </w:p>
    <w:p w14:paraId="58149FB3" w14:textId="48FF200E"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35" w:history="1">
        <w:r w:rsidRPr="0095399A">
          <w:rPr>
            <w:rStyle w:val="Hyperlink"/>
            <w:noProof/>
          </w:rPr>
          <w:t>17.3.</w:t>
        </w:r>
        <w:r>
          <w:rPr>
            <w:rFonts w:asciiTheme="minorHAnsi" w:eastAsiaTheme="minorEastAsia" w:hAnsiTheme="minorHAnsi" w:cstheme="minorBidi"/>
            <w:noProof/>
            <w:kern w:val="2"/>
            <w:sz w:val="24"/>
            <w:szCs w:val="24"/>
            <w14:ligatures w14:val="standardContextual"/>
          </w:rPr>
          <w:tab/>
        </w:r>
        <w:r w:rsidRPr="0095399A">
          <w:rPr>
            <w:rStyle w:val="Hyperlink"/>
            <w:noProof/>
          </w:rPr>
          <w:t>Training Delivery and Documentation</w:t>
        </w:r>
        <w:r>
          <w:rPr>
            <w:noProof/>
            <w:webHidden/>
          </w:rPr>
          <w:tab/>
        </w:r>
        <w:r>
          <w:rPr>
            <w:noProof/>
            <w:webHidden/>
          </w:rPr>
          <w:fldChar w:fldCharType="begin"/>
        </w:r>
        <w:r>
          <w:rPr>
            <w:noProof/>
            <w:webHidden/>
          </w:rPr>
          <w:instrText xml:space="preserve"> PAGEREF _Toc231895235 \h </w:instrText>
        </w:r>
        <w:r>
          <w:rPr>
            <w:noProof/>
            <w:webHidden/>
          </w:rPr>
        </w:r>
        <w:r>
          <w:rPr>
            <w:noProof/>
            <w:webHidden/>
          </w:rPr>
          <w:fldChar w:fldCharType="separate"/>
        </w:r>
        <w:r w:rsidR="00F97260">
          <w:rPr>
            <w:noProof/>
            <w:webHidden/>
          </w:rPr>
          <w:t>75</w:t>
        </w:r>
        <w:r>
          <w:rPr>
            <w:noProof/>
            <w:webHidden/>
          </w:rPr>
          <w:fldChar w:fldCharType="end"/>
        </w:r>
      </w:hyperlink>
    </w:p>
    <w:p w14:paraId="2A3F8719" w14:textId="32A57DD5" w:rsidR="009F778D" w:rsidRDefault="009F778D">
      <w:pPr>
        <w:pStyle w:val="TOC3"/>
        <w:tabs>
          <w:tab w:val="left" w:pos="1710"/>
        </w:tabs>
        <w:rPr>
          <w:rFonts w:asciiTheme="minorHAnsi" w:eastAsiaTheme="minorEastAsia" w:hAnsiTheme="minorHAnsi" w:cstheme="minorBidi"/>
          <w:noProof/>
          <w:color w:val="auto"/>
          <w:kern w:val="2"/>
          <w:sz w:val="24"/>
          <w:szCs w:val="24"/>
          <w14:ligatures w14:val="standardContextual"/>
        </w:rPr>
      </w:pPr>
      <w:hyperlink w:anchor="_Toc231895236" w:history="1">
        <w:r w:rsidRPr="0095399A">
          <w:rPr>
            <w:rStyle w:val="Hyperlink"/>
            <w:noProof/>
          </w:rPr>
          <w:t>Chapter 18:</w:t>
        </w:r>
        <w:r>
          <w:rPr>
            <w:rFonts w:asciiTheme="minorHAnsi" w:eastAsiaTheme="minorEastAsia" w:hAnsiTheme="minorHAnsi" w:cstheme="minorBidi"/>
            <w:noProof/>
            <w:color w:val="auto"/>
            <w:kern w:val="2"/>
            <w:sz w:val="24"/>
            <w:szCs w:val="24"/>
            <w14:ligatures w14:val="standardContextual"/>
          </w:rPr>
          <w:tab/>
        </w:r>
        <w:r w:rsidRPr="0095399A">
          <w:rPr>
            <w:rStyle w:val="Hyperlink"/>
            <w:noProof/>
          </w:rPr>
          <w:t>Handling Privacy Complaints</w:t>
        </w:r>
        <w:r>
          <w:rPr>
            <w:noProof/>
            <w:webHidden/>
          </w:rPr>
          <w:tab/>
        </w:r>
        <w:r>
          <w:rPr>
            <w:noProof/>
            <w:webHidden/>
          </w:rPr>
          <w:fldChar w:fldCharType="begin"/>
        </w:r>
        <w:r>
          <w:rPr>
            <w:noProof/>
            <w:webHidden/>
          </w:rPr>
          <w:instrText xml:space="preserve"> PAGEREF _Toc231895236 \h </w:instrText>
        </w:r>
        <w:r>
          <w:rPr>
            <w:noProof/>
            <w:webHidden/>
          </w:rPr>
        </w:r>
        <w:r>
          <w:rPr>
            <w:noProof/>
            <w:webHidden/>
          </w:rPr>
          <w:fldChar w:fldCharType="separate"/>
        </w:r>
        <w:r w:rsidR="00F97260">
          <w:rPr>
            <w:noProof/>
            <w:webHidden/>
          </w:rPr>
          <w:t>76</w:t>
        </w:r>
        <w:r>
          <w:rPr>
            <w:noProof/>
            <w:webHidden/>
          </w:rPr>
          <w:fldChar w:fldCharType="end"/>
        </w:r>
      </w:hyperlink>
    </w:p>
    <w:p w14:paraId="622E813A" w14:textId="503CD524"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37" w:history="1">
        <w:r w:rsidRPr="0095399A">
          <w:rPr>
            <w:rStyle w:val="Hyperlink"/>
            <w:noProof/>
          </w:rPr>
          <w:t>18.1.</w:t>
        </w:r>
        <w:r>
          <w:rPr>
            <w:rFonts w:asciiTheme="minorHAnsi" w:eastAsiaTheme="minorEastAsia" w:hAnsiTheme="minorHAnsi" w:cstheme="minorBidi"/>
            <w:noProof/>
            <w:kern w:val="2"/>
            <w:sz w:val="24"/>
            <w:szCs w:val="24"/>
            <w14:ligatures w14:val="standardContextual"/>
          </w:rPr>
          <w:tab/>
        </w:r>
        <w:r w:rsidRPr="0095399A">
          <w:rPr>
            <w:rStyle w:val="Hyperlink"/>
            <w:noProof/>
          </w:rPr>
          <w:t>Establishing a Complaint Process</w:t>
        </w:r>
        <w:r>
          <w:rPr>
            <w:noProof/>
            <w:webHidden/>
          </w:rPr>
          <w:tab/>
        </w:r>
        <w:r>
          <w:rPr>
            <w:noProof/>
            <w:webHidden/>
          </w:rPr>
          <w:fldChar w:fldCharType="begin"/>
        </w:r>
        <w:r>
          <w:rPr>
            <w:noProof/>
            <w:webHidden/>
          </w:rPr>
          <w:instrText xml:space="preserve"> PAGEREF _Toc231895237 \h </w:instrText>
        </w:r>
        <w:r>
          <w:rPr>
            <w:noProof/>
            <w:webHidden/>
          </w:rPr>
        </w:r>
        <w:r>
          <w:rPr>
            <w:noProof/>
            <w:webHidden/>
          </w:rPr>
          <w:fldChar w:fldCharType="separate"/>
        </w:r>
        <w:r w:rsidR="00F97260">
          <w:rPr>
            <w:noProof/>
            <w:webHidden/>
          </w:rPr>
          <w:t>76</w:t>
        </w:r>
        <w:r>
          <w:rPr>
            <w:noProof/>
            <w:webHidden/>
          </w:rPr>
          <w:fldChar w:fldCharType="end"/>
        </w:r>
      </w:hyperlink>
    </w:p>
    <w:p w14:paraId="2D208249" w14:textId="7AE34236"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38" w:history="1">
        <w:r w:rsidRPr="0095399A">
          <w:rPr>
            <w:rStyle w:val="Hyperlink"/>
            <w:noProof/>
          </w:rPr>
          <w:t>18.2.</w:t>
        </w:r>
        <w:r>
          <w:rPr>
            <w:rFonts w:asciiTheme="minorHAnsi" w:eastAsiaTheme="minorEastAsia" w:hAnsiTheme="minorHAnsi" w:cstheme="minorBidi"/>
            <w:noProof/>
            <w:kern w:val="2"/>
            <w:sz w:val="24"/>
            <w:szCs w:val="24"/>
            <w14:ligatures w14:val="standardContextual"/>
          </w:rPr>
          <w:tab/>
        </w:r>
        <w:r w:rsidRPr="0095399A">
          <w:rPr>
            <w:rStyle w:val="Hyperlink"/>
            <w:noProof/>
          </w:rPr>
          <w:t>Receiving and Assessing Complaints</w:t>
        </w:r>
        <w:r>
          <w:rPr>
            <w:noProof/>
            <w:webHidden/>
          </w:rPr>
          <w:tab/>
        </w:r>
        <w:r>
          <w:rPr>
            <w:noProof/>
            <w:webHidden/>
          </w:rPr>
          <w:fldChar w:fldCharType="begin"/>
        </w:r>
        <w:r>
          <w:rPr>
            <w:noProof/>
            <w:webHidden/>
          </w:rPr>
          <w:instrText xml:space="preserve"> PAGEREF _Toc231895238 \h </w:instrText>
        </w:r>
        <w:r>
          <w:rPr>
            <w:noProof/>
            <w:webHidden/>
          </w:rPr>
        </w:r>
        <w:r>
          <w:rPr>
            <w:noProof/>
            <w:webHidden/>
          </w:rPr>
          <w:fldChar w:fldCharType="separate"/>
        </w:r>
        <w:r w:rsidR="00F97260">
          <w:rPr>
            <w:noProof/>
            <w:webHidden/>
          </w:rPr>
          <w:t>76</w:t>
        </w:r>
        <w:r>
          <w:rPr>
            <w:noProof/>
            <w:webHidden/>
          </w:rPr>
          <w:fldChar w:fldCharType="end"/>
        </w:r>
      </w:hyperlink>
    </w:p>
    <w:p w14:paraId="5332F9CB" w14:textId="1465C2AE"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39" w:history="1">
        <w:r w:rsidRPr="0095399A">
          <w:rPr>
            <w:rStyle w:val="Hyperlink"/>
            <w:noProof/>
          </w:rPr>
          <w:t>18.3.</w:t>
        </w:r>
        <w:r>
          <w:rPr>
            <w:rFonts w:asciiTheme="minorHAnsi" w:eastAsiaTheme="minorEastAsia" w:hAnsiTheme="minorHAnsi" w:cstheme="minorBidi"/>
            <w:noProof/>
            <w:kern w:val="2"/>
            <w:sz w:val="24"/>
            <w:szCs w:val="24"/>
            <w14:ligatures w14:val="standardContextual"/>
          </w:rPr>
          <w:tab/>
        </w:r>
        <w:r w:rsidRPr="0095399A">
          <w:rPr>
            <w:rStyle w:val="Hyperlink"/>
            <w:noProof/>
          </w:rPr>
          <w:t>Timeframes</w:t>
        </w:r>
        <w:r>
          <w:rPr>
            <w:noProof/>
            <w:webHidden/>
          </w:rPr>
          <w:tab/>
        </w:r>
        <w:r>
          <w:rPr>
            <w:noProof/>
            <w:webHidden/>
          </w:rPr>
          <w:fldChar w:fldCharType="begin"/>
        </w:r>
        <w:r>
          <w:rPr>
            <w:noProof/>
            <w:webHidden/>
          </w:rPr>
          <w:instrText xml:space="preserve"> PAGEREF _Toc231895239 \h </w:instrText>
        </w:r>
        <w:r>
          <w:rPr>
            <w:noProof/>
            <w:webHidden/>
          </w:rPr>
        </w:r>
        <w:r>
          <w:rPr>
            <w:noProof/>
            <w:webHidden/>
          </w:rPr>
          <w:fldChar w:fldCharType="separate"/>
        </w:r>
        <w:r w:rsidR="00F97260">
          <w:rPr>
            <w:noProof/>
            <w:webHidden/>
          </w:rPr>
          <w:t>76</w:t>
        </w:r>
        <w:r>
          <w:rPr>
            <w:noProof/>
            <w:webHidden/>
          </w:rPr>
          <w:fldChar w:fldCharType="end"/>
        </w:r>
      </w:hyperlink>
    </w:p>
    <w:p w14:paraId="65A5C154" w14:textId="1AD4BC37"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40" w:history="1">
        <w:r w:rsidRPr="0095399A">
          <w:rPr>
            <w:rStyle w:val="Hyperlink"/>
            <w:noProof/>
          </w:rPr>
          <w:t>18.4.</w:t>
        </w:r>
        <w:r>
          <w:rPr>
            <w:rFonts w:asciiTheme="minorHAnsi" w:eastAsiaTheme="minorEastAsia" w:hAnsiTheme="minorHAnsi" w:cstheme="minorBidi"/>
            <w:noProof/>
            <w:kern w:val="2"/>
            <w:sz w:val="24"/>
            <w:szCs w:val="24"/>
            <w14:ligatures w14:val="standardContextual"/>
          </w:rPr>
          <w:tab/>
        </w:r>
        <w:r w:rsidRPr="0095399A">
          <w:rPr>
            <w:rStyle w:val="Hyperlink"/>
            <w:noProof/>
          </w:rPr>
          <w:t>Escalation to the OAIC</w:t>
        </w:r>
        <w:r>
          <w:rPr>
            <w:noProof/>
            <w:webHidden/>
          </w:rPr>
          <w:tab/>
        </w:r>
        <w:r>
          <w:rPr>
            <w:noProof/>
            <w:webHidden/>
          </w:rPr>
          <w:fldChar w:fldCharType="begin"/>
        </w:r>
        <w:r>
          <w:rPr>
            <w:noProof/>
            <w:webHidden/>
          </w:rPr>
          <w:instrText xml:space="preserve"> PAGEREF _Toc231895240 \h </w:instrText>
        </w:r>
        <w:r>
          <w:rPr>
            <w:noProof/>
            <w:webHidden/>
          </w:rPr>
        </w:r>
        <w:r>
          <w:rPr>
            <w:noProof/>
            <w:webHidden/>
          </w:rPr>
          <w:fldChar w:fldCharType="separate"/>
        </w:r>
        <w:r w:rsidR="00F97260">
          <w:rPr>
            <w:noProof/>
            <w:webHidden/>
          </w:rPr>
          <w:t>77</w:t>
        </w:r>
        <w:r>
          <w:rPr>
            <w:noProof/>
            <w:webHidden/>
          </w:rPr>
          <w:fldChar w:fldCharType="end"/>
        </w:r>
      </w:hyperlink>
    </w:p>
    <w:p w14:paraId="22F69287" w14:textId="75E84E68" w:rsidR="009F778D" w:rsidRDefault="009F778D">
      <w:pPr>
        <w:pStyle w:val="TOC1"/>
        <w:tabs>
          <w:tab w:val="right" w:leader="dot" w:pos="9016"/>
        </w:tabs>
        <w:rPr>
          <w:rFonts w:asciiTheme="minorHAnsi" w:eastAsiaTheme="minorEastAsia" w:hAnsiTheme="minorHAnsi" w:cstheme="minorBidi"/>
          <w:b w:val="0"/>
          <w:bCs w:val="0"/>
          <w:caps w:val="0"/>
          <w:noProof/>
          <w:color w:val="auto"/>
          <w:kern w:val="2"/>
          <w14:ligatures w14:val="standardContextual"/>
        </w:rPr>
      </w:pPr>
      <w:hyperlink w:anchor="_Toc231895241" w:history="1">
        <w:r w:rsidRPr="0095399A">
          <w:rPr>
            <w:rStyle w:val="Hyperlink"/>
            <w:noProof/>
          </w:rPr>
          <w:t>PART F</w:t>
        </w:r>
        <w:r>
          <w:rPr>
            <w:noProof/>
            <w:webHidden/>
          </w:rPr>
          <w:tab/>
        </w:r>
        <w:r>
          <w:rPr>
            <w:noProof/>
            <w:webHidden/>
          </w:rPr>
          <w:fldChar w:fldCharType="begin"/>
        </w:r>
        <w:r>
          <w:rPr>
            <w:noProof/>
            <w:webHidden/>
          </w:rPr>
          <w:instrText xml:space="preserve"> PAGEREF _Toc231895241 \h </w:instrText>
        </w:r>
        <w:r>
          <w:rPr>
            <w:noProof/>
            <w:webHidden/>
          </w:rPr>
        </w:r>
        <w:r>
          <w:rPr>
            <w:noProof/>
            <w:webHidden/>
          </w:rPr>
          <w:fldChar w:fldCharType="separate"/>
        </w:r>
        <w:r w:rsidR="00F97260">
          <w:rPr>
            <w:noProof/>
            <w:webHidden/>
          </w:rPr>
          <w:t>78</w:t>
        </w:r>
        <w:r>
          <w:rPr>
            <w:noProof/>
            <w:webHidden/>
          </w:rPr>
          <w:fldChar w:fldCharType="end"/>
        </w:r>
      </w:hyperlink>
    </w:p>
    <w:p w14:paraId="686004CE" w14:textId="7A9F696D" w:rsidR="009F778D" w:rsidRDefault="009F778D">
      <w:pPr>
        <w:pStyle w:val="TOC2"/>
        <w:tabs>
          <w:tab w:val="right" w:leader="dot" w:pos="9016"/>
        </w:tabs>
        <w:rPr>
          <w:rFonts w:asciiTheme="minorHAnsi" w:eastAsiaTheme="minorEastAsia" w:hAnsiTheme="minorHAnsi" w:cstheme="minorBidi"/>
          <w:bCs w:val="0"/>
          <w:noProof/>
          <w:color w:val="auto"/>
          <w:kern w:val="2"/>
          <w:sz w:val="24"/>
          <w:szCs w:val="24"/>
          <w14:ligatures w14:val="standardContextual"/>
        </w:rPr>
      </w:pPr>
      <w:hyperlink w:anchor="_Toc231895242" w:history="1">
        <w:r w:rsidRPr="0095399A">
          <w:rPr>
            <w:rStyle w:val="Hyperlink"/>
            <w:noProof/>
          </w:rPr>
          <w:t>REFERENCE MATERIALS</w:t>
        </w:r>
        <w:r>
          <w:rPr>
            <w:noProof/>
            <w:webHidden/>
          </w:rPr>
          <w:tab/>
        </w:r>
        <w:r>
          <w:rPr>
            <w:noProof/>
            <w:webHidden/>
          </w:rPr>
          <w:fldChar w:fldCharType="begin"/>
        </w:r>
        <w:r>
          <w:rPr>
            <w:noProof/>
            <w:webHidden/>
          </w:rPr>
          <w:instrText xml:space="preserve"> PAGEREF _Toc231895242 \h </w:instrText>
        </w:r>
        <w:r>
          <w:rPr>
            <w:noProof/>
            <w:webHidden/>
          </w:rPr>
        </w:r>
        <w:r>
          <w:rPr>
            <w:noProof/>
            <w:webHidden/>
          </w:rPr>
          <w:fldChar w:fldCharType="separate"/>
        </w:r>
        <w:r w:rsidR="00F97260">
          <w:rPr>
            <w:noProof/>
            <w:webHidden/>
          </w:rPr>
          <w:t>78</w:t>
        </w:r>
        <w:r>
          <w:rPr>
            <w:noProof/>
            <w:webHidden/>
          </w:rPr>
          <w:fldChar w:fldCharType="end"/>
        </w:r>
      </w:hyperlink>
    </w:p>
    <w:p w14:paraId="46A542C7" w14:textId="1EFA5265" w:rsidR="009F778D" w:rsidRDefault="009F778D">
      <w:pPr>
        <w:pStyle w:val="TOC3"/>
        <w:tabs>
          <w:tab w:val="left" w:pos="1710"/>
        </w:tabs>
        <w:rPr>
          <w:rFonts w:asciiTheme="minorHAnsi" w:eastAsiaTheme="minorEastAsia" w:hAnsiTheme="minorHAnsi" w:cstheme="minorBidi"/>
          <w:noProof/>
          <w:color w:val="auto"/>
          <w:kern w:val="2"/>
          <w:sz w:val="24"/>
          <w:szCs w:val="24"/>
          <w14:ligatures w14:val="standardContextual"/>
        </w:rPr>
      </w:pPr>
      <w:hyperlink w:anchor="_Toc231895243" w:history="1">
        <w:r w:rsidRPr="0095399A">
          <w:rPr>
            <w:rStyle w:val="Hyperlink"/>
            <w:noProof/>
          </w:rPr>
          <w:t>Chapter 19:</w:t>
        </w:r>
        <w:r>
          <w:rPr>
            <w:rFonts w:asciiTheme="minorHAnsi" w:eastAsiaTheme="minorEastAsia" w:hAnsiTheme="minorHAnsi" w:cstheme="minorBidi"/>
            <w:noProof/>
            <w:color w:val="auto"/>
            <w:kern w:val="2"/>
            <w:sz w:val="24"/>
            <w:szCs w:val="24"/>
            <w14:ligatures w14:val="standardContextual"/>
          </w:rPr>
          <w:tab/>
        </w:r>
        <w:r w:rsidRPr="0095399A">
          <w:rPr>
            <w:rStyle w:val="Hyperlink"/>
            <w:noProof/>
          </w:rPr>
          <w:t>Resources and References</w:t>
        </w:r>
        <w:r>
          <w:rPr>
            <w:noProof/>
            <w:webHidden/>
          </w:rPr>
          <w:tab/>
        </w:r>
        <w:r>
          <w:rPr>
            <w:noProof/>
            <w:webHidden/>
          </w:rPr>
          <w:fldChar w:fldCharType="begin"/>
        </w:r>
        <w:r>
          <w:rPr>
            <w:noProof/>
            <w:webHidden/>
          </w:rPr>
          <w:instrText xml:space="preserve"> PAGEREF _Toc231895243 \h </w:instrText>
        </w:r>
        <w:r>
          <w:rPr>
            <w:noProof/>
            <w:webHidden/>
          </w:rPr>
        </w:r>
        <w:r>
          <w:rPr>
            <w:noProof/>
            <w:webHidden/>
          </w:rPr>
          <w:fldChar w:fldCharType="separate"/>
        </w:r>
        <w:r w:rsidR="00F97260">
          <w:rPr>
            <w:noProof/>
            <w:webHidden/>
          </w:rPr>
          <w:t>78</w:t>
        </w:r>
        <w:r>
          <w:rPr>
            <w:noProof/>
            <w:webHidden/>
          </w:rPr>
          <w:fldChar w:fldCharType="end"/>
        </w:r>
      </w:hyperlink>
    </w:p>
    <w:p w14:paraId="4CFFB45E" w14:textId="651102E7"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44" w:history="1">
        <w:r w:rsidRPr="0095399A">
          <w:rPr>
            <w:rStyle w:val="Hyperlink"/>
            <w:noProof/>
          </w:rPr>
          <w:t>19.1.</w:t>
        </w:r>
        <w:r>
          <w:rPr>
            <w:rFonts w:asciiTheme="minorHAnsi" w:eastAsiaTheme="minorEastAsia" w:hAnsiTheme="minorHAnsi" w:cstheme="minorBidi"/>
            <w:noProof/>
            <w:kern w:val="2"/>
            <w:sz w:val="24"/>
            <w:szCs w:val="24"/>
            <w14:ligatures w14:val="standardContextual"/>
          </w:rPr>
          <w:tab/>
        </w:r>
        <w:r w:rsidRPr="0095399A">
          <w:rPr>
            <w:rStyle w:val="Hyperlink"/>
            <w:noProof/>
          </w:rPr>
          <w:t>OAIC Guidance and Resources</w:t>
        </w:r>
        <w:r>
          <w:rPr>
            <w:noProof/>
            <w:webHidden/>
          </w:rPr>
          <w:tab/>
        </w:r>
        <w:r>
          <w:rPr>
            <w:noProof/>
            <w:webHidden/>
          </w:rPr>
          <w:fldChar w:fldCharType="begin"/>
        </w:r>
        <w:r>
          <w:rPr>
            <w:noProof/>
            <w:webHidden/>
          </w:rPr>
          <w:instrText xml:space="preserve"> PAGEREF _Toc231895244 \h </w:instrText>
        </w:r>
        <w:r>
          <w:rPr>
            <w:noProof/>
            <w:webHidden/>
          </w:rPr>
        </w:r>
        <w:r>
          <w:rPr>
            <w:noProof/>
            <w:webHidden/>
          </w:rPr>
          <w:fldChar w:fldCharType="separate"/>
        </w:r>
        <w:r w:rsidR="00F97260">
          <w:rPr>
            <w:noProof/>
            <w:webHidden/>
          </w:rPr>
          <w:t>78</w:t>
        </w:r>
        <w:r>
          <w:rPr>
            <w:noProof/>
            <w:webHidden/>
          </w:rPr>
          <w:fldChar w:fldCharType="end"/>
        </w:r>
      </w:hyperlink>
    </w:p>
    <w:p w14:paraId="08B75F75" w14:textId="71BAE50C"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45" w:history="1">
        <w:r w:rsidRPr="0095399A">
          <w:rPr>
            <w:rStyle w:val="Hyperlink"/>
            <w:noProof/>
          </w:rPr>
          <w:t>19.2.</w:t>
        </w:r>
        <w:r>
          <w:rPr>
            <w:rFonts w:asciiTheme="minorHAnsi" w:eastAsiaTheme="minorEastAsia" w:hAnsiTheme="minorHAnsi" w:cstheme="minorBidi"/>
            <w:noProof/>
            <w:kern w:val="2"/>
            <w:sz w:val="24"/>
            <w:szCs w:val="24"/>
            <w14:ligatures w14:val="standardContextual"/>
          </w:rPr>
          <w:tab/>
        </w:r>
        <w:r w:rsidRPr="0095399A">
          <w:rPr>
            <w:rStyle w:val="Hyperlink"/>
            <w:noProof/>
          </w:rPr>
          <w:t>Key Legislation</w:t>
        </w:r>
        <w:r>
          <w:rPr>
            <w:noProof/>
            <w:webHidden/>
          </w:rPr>
          <w:tab/>
        </w:r>
        <w:r>
          <w:rPr>
            <w:noProof/>
            <w:webHidden/>
          </w:rPr>
          <w:fldChar w:fldCharType="begin"/>
        </w:r>
        <w:r>
          <w:rPr>
            <w:noProof/>
            <w:webHidden/>
          </w:rPr>
          <w:instrText xml:space="preserve"> PAGEREF _Toc231895245 \h </w:instrText>
        </w:r>
        <w:r>
          <w:rPr>
            <w:noProof/>
            <w:webHidden/>
          </w:rPr>
        </w:r>
        <w:r>
          <w:rPr>
            <w:noProof/>
            <w:webHidden/>
          </w:rPr>
          <w:fldChar w:fldCharType="separate"/>
        </w:r>
        <w:r w:rsidR="00F97260">
          <w:rPr>
            <w:noProof/>
            <w:webHidden/>
          </w:rPr>
          <w:t>79</w:t>
        </w:r>
        <w:r>
          <w:rPr>
            <w:noProof/>
            <w:webHidden/>
          </w:rPr>
          <w:fldChar w:fldCharType="end"/>
        </w:r>
      </w:hyperlink>
    </w:p>
    <w:p w14:paraId="7DD5AECB" w14:textId="3FE799AF"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46" w:history="1">
        <w:r w:rsidRPr="0095399A">
          <w:rPr>
            <w:rStyle w:val="Hyperlink"/>
            <w:noProof/>
          </w:rPr>
          <w:t>19.3.</w:t>
        </w:r>
        <w:r>
          <w:rPr>
            <w:rFonts w:asciiTheme="minorHAnsi" w:eastAsiaTheme="minorEastAsia" w:hAnsiTheme="minorHAnsi" w:cstheme="minorBidi"/>
            <w:noProof/>
            <w:kern w:val="2"/>
            <w:sz w:val="24"/>
            <w:szCs w:val="24"/>
            <w14:ligatures w14:val="standardContextual"/>
          </w:rPr>
          <w:tab/>
        </w:r>
        <w:r w:rsidRPr="0095399A">
          <w:rPr>
            <w:rStyle w:val="Hyperlink"/>
            <w:noProof/>
          </w:rPr>
          <w:t>Other Useful Resources</w:t>
        </w:r>
        <w:r>
          <w:rPr>
            <w:noProof/>
            <w:webHidden/>
          </w:rPr>
          <w:tab/>
        </w:r>
        <w:r>
          <w:rPr>
            <w:noProof/>
            <w:webHidden/>
          </w:rPr>
          <w:fldChar w:fldCharType="begin"/>
        </w:r>
        <w:r>
          <w:rPr>
            <w:noProof/>
            <w:webHidden/>
          </w:rPr>
          <w:instrText xml:space="preserve"> PAGEREF _Toc231895246 \h </w:instrText>
        </w:r>
        <w:r>
          <w:rPr>
            <w:noProof/>
            <w:webHidden/>
          </w:rPr>
        </w:r>
        <w:r>
          <w:rPr>
            <w:noProof/>
            <w:webHidden/>
          </w:rPr>
          <w:fldChar w:fldCharType="separate"/>
        </w:r>
        <w:r w:rsidR="00F97260">
          <w:rPr>
            <w:noProof/>
            <w:webHidden/>
          </w:rPr>
          <w:t>79</w:t>
        </w:r>
        <w:r>
          <w:rPr>
            <w:noProof/>
            <w:webHidden/>
          </w:rPr>
          <w:fldChar w:fldCharType="end"/>
        </w:r>
      </w:hyperlink>
    </w:p>
    <w:p w14:paraId="099F90CB" w14:textId="1329707D" w:rsidR="009F778D" w:rsidRDefault="009F778D">
      <w:pPr>
        <w:pStyle w:val="TOC3"/>
        <w:tabs>
          <w:tab w:val="left" w:pos="1710"/>
        </w:tabs>
        <w:rPr>
          <w:rFonts w:asciiTheme="minorHAnsi" w:eastAsiaTheme="minorEastAsia" w:hAnsiTheme="minorHAnsi" w:cstheme="minorBidi"/>
          <w:noProof/>
          <w:color w:val="auto"/>
          <w:kern w:val="2"/>
          <w:sz w:val="24"/>
          <w:szCs w:val="24"/>
          <w14:ligatures w14:val="standardContextual"/>
        </w:rPr>
      </w:pPr>
      <w:hyperlink w:anchor="_Toc231895247" w:history="1">
        <w:r w:rsidRPr="0095399A">
          <w:rPr>
            <w:rStyle w:val="Hyperlink"/>
            <w:noProof/>
          </w:rPr>
          <w:t>Chapter 20:</w:t>
        </w:r>
        <w:r>
          <w:rPr>
            <w:rFonts w:asciiTheme="minorHAnsi" w:eastAsiaTheme="minorEastAsia" w:hAnsiTheme="minorHAnsi" w:cstheme="minorBidi"/>
            <w:noProof/>
            <w:color w:val="auto"/>
            <w:kern w:val="2"/>
            <w:sz w:val="24"/>
            <w:szCs w:val="24"/>
            <w14:ligatures w14:val="standardContextual"/>
          </w:rPr>
          <w:tab/>
        </w:r>
        <w:r w:rsidRPr="0095399A">
          <w:rPr>
            <w:rStyle w:val="Hyperlink"/>
            <w:noProof/>
          </w:rPr>
          <w:t>Glossary of Key Terms</w:t>
        </w:r>
        <w:r>
          <w:rPr>
            <w:noProof/>
            <w:webHidden/>
          </w:rPr>
          <w:tab/>
        </w:r>
        <w:r>
          <w:rPr>
            <w:noProof/>
            <w:webHidden/>
          </w:rPr>
          <w:fldChar w:fldCharType="begin"/>
        </w:r>
        <w:r>
          <w:rPr>
            <w:noProof/>
            <w:webHidden/>
          </w:rPr>
          <w:instrText xml:space="preserve"> PAGEREF _Toc231895247 \h </w:instrText>
        </w:r>
        <w:r>
          <w:rPr>
            <w:noProof/>
            <w:webHidden/>
          </w:rPr>
        </w:r>
        <w:r>
          <w:rPr>
            <w:noProof/>
            <w:webHidden/>
          </w:rPr>
          <w:fldChar w:fldCharType="separate"/>
        </w:r>
        <w:r w:rsidR="00F97260">
          <w:rPr>
            <w:noProof/>
            <w:webHidden/>
          </w:rPr>
          <w:t>80</w:t>
        </w:r>
        <w:r>
          <w:rPr>
            <w:noProof/>
            <w:webHidden/>
          </w:rPr>
          <w:fldChar w:fldCharType="end"/>
        </w:r>
      </w:hyperlink>
    </w:p>
    <w:p w14:paraId="498276B7" w14:textId="524F25D6" w:rsidR="009F778D" w:rsidRDefault="009F778D">
      <w:pPr>
        <w:pStyle w:val="TOC3"/>
        <w:tabs>
          <w:tab w:val="left" w:pos="1710"/>
        </w:tabs>
        <w:rPr>
          <w:rFonts w:asciiTheme="minorHAnsi" w:eastAsiaTheme="minorEastAsia" w:hAnsiTheme="minorHAnsi" w:cstheme="minorBidi"/>
          <w:noProof/>
          <w:color w:val="auto"/>
          <w:kern w:val="2"/>
          <w:sz w:val="24"/>
          <w:szCs w:val="24"/>
          <w14:ligatures w14:val="standardContextual"/>
        </w:rPr>
      </w:pPr>
      <w:hyperlink w:anchor="_Toc231895248" w:history="1">
        <w:r w:rsidRPr="0095399A">
          <w:rPr>
            <w:rStyle w:val="Hyperlink"/>
            <w:noProof/>
          </w:rPr>
          <w:t>Chapter 21:</w:t>
        </w:r>
        <w:r>
          <w:rPr>
            <w:rFonts w:asciiTheme="minorHAnsi" w:eastAsiaTheme="minorEastAsia" w:hAnsiTheme="minorHAnsi" w:cstheme="minorBidi"/>
            <w:noProof/>
            <w:color w:val="auto"/>
            <w:kern w:val="2"/>
            <w:sz w:val="24"/>
            <w:szCs w:val="24"/>
            <w14:ligatures w14:val="standardContextual"/>
          </w:rPr>
          <w:tab/>
        </w:r>
        <w:r w:rsidRPr="0095399A">
          <w:rPr>
            <w:rStyle w:val="Hyperlink"/>
            <w:noProof/>
          </w:rPr>
          <w:t>Quick Reference Guides</w:t>
        </w:r>
        <w:r>
          <w:rPr>
            <w:noProof/>
            <w:webHidden/>
          </w:rPr>
          <w:tab/>
        </w:r>
        <w:r>
          <w:rPr>
            <w:noProof/>
            <w:webHidden/>
          </w:rPr>
          <w:fldChar w:fldCharType="begin"/>
        </w:r>
        <w:r>
          <w:rPr>
            <w:noProof/>
            <w:webHidden/>
          </w:rPr>
          <w:instrText xml:space="preserve"> PAGEREF _Toc231895248 \h </w:instrText>
        </w:r>
        <w:r>
          <w:rPr>
            <w:noProof/>
            <w:webHidden/>
          </w:rPr>
        </w:r>
        <w:r>
          <w:rPr>
            <w:noProof/>
            <w:webHidden/>
          </w:rPr>
          <w:fldChar w:fldCharType="separate"/>
        </w:r>
        <w:r w:rsidR="00F97260">
          <w:rPr>
            <w:noProof/>
            <w:webHidden/>
          </w:rPr>
          <w:t>82</w:t>
        </w:r>
        <w:r>
          <w:rPr>
            <w:noProof/>
            <w:webHidden/>
          </w:rPr>
          <w:fldChar w:fldCharType="end"/>
        </w:r>
      </w:hyperlink>
    </w:p>
    <w:p w14:paraId="2D112273" w14:textId="4F0DAED3"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49" w:history="1">
        <w:r w:rsidRPr="0095399A">
          <w:rPr>
            <w:rStyle w:val="Hyperlink"/>
            <w:noProof/>
          </w:rPr>
          <w:t>21.1.</w:t>
        </w:r>
        <w:r>
          <w:rPr>
            <w:rFonts w:asciiTheme="minorHAnsi" w:eastAsiaTheme="minorEastAsia" w:hAnsiTheme="minorHAnsi" w:cstheme="minorBidi"/>
            <w:noProof/>
            <w:kern w:val="2"/>
            <w:sz w:val="24"/>
            <w:szCs w:val="24"/>
            <w14:ligatures w14:val="standardContextual"/>
          </w:rPr>
          <w:tab/>
        </w:r>
        <w:r w:rsidRPr="0095399A">
          <w:rPr>
            <w:rStyle w:val="Hyperlink"/>
            <w:noProof/>
          </w:rPr>
          <w:t>Quick Reference: New Client Onboarding</w:t>
        </w:r>
        <w:r>
          <w:rPr>
            <w:noProof/>
            <w:webHidden/>
          </w:rPr>
          <w:tab/>
        </w:r>
        <w:r>
          <w:rPr>
            <w:noProof/>
            <w:webHidden/>
          </w:rPr>
          <w:fldChar w:fldCharType="begin"/>
        </w:r>
        <w:r>
          <w:rPr>
            <w:noProof/>
            <w:webHidden/>
          </w:rPr>
          <w:instrText xml:space="preserve"> PAGEREF _Toc231895249 \h </w:instrText>
        </w:r>
        <w:r>
          <w:rPr>
            <w:noProof/>
            <w:webHidden/>
          </w:rPr>
        </w:r>
        <w:r>
          <w:rPr>
            <w:noProof/>
            <w:webHidden/>
          </w:rPr>
          <w:fldChar w:fldCharType="separate"/>
        </w:r>
        <w:r w:rsidR="00F97260">
          <w:rPr>
            <w:noProof/>
            <w:webHidden/>
          </w:rPr>
          <w:t>82</w:t>
        </w:r>
        <w:r>
          <w:rPr>
            <w:noProof/>
            <w:webHidden/>
          </w:rPr>
          <w:fldChar w:fldCharType="end"/>
        </w:r>
      </w:hyperlink>
    </w:p>
    <w:p w14:paraId="056352B3" w14:textId="1444A72D"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50" w:history="1">
        <w:r w:rsidRPr="0095399A">
          <w:rPr>
            <w:rStyle w:val="Hyperlink"/>
            <w:noProof/>
          </w:rPr>
          <w:t>21.2.</w:t>
        </w:r>
        <w:r>
          <w:rPr>
            <w:rFonts w:asciiTheme="minorHAnsi" w:eastAsiaTheme="minorEastAsia" w:hAnsiTheme="minorHAnsi" w:cstheme="minorBidi"/>
            <w:noProof/>
            <w:kern w:val="2"/>
            <w:sz w:val="24"/>
            <w:szCs w:val="24"/>
            <w14:ligatures w14:val="standardContextual"/>
          </w:rPr>
          <w:tab/>
        </w:r>
        <w:r w:rsidRPr="0095399A">
          <w:rPr>
            <w:rStyle w:val="Hyperlink"/>
            <w:noProof/>
          </w:rPr>
          <w:t>Quick Reference: Access Request Handling</w:t>
        </w:r>
        <w:r>
          <w:rPr>
            <w:noProof/>
            <w:webHidden/>
          </w:rPr>
          <w:tab/>
        </w:r>
        <w:r>
          <w:rPr>
            <w:noProof/>
            <w:webHidden/>
          </w:rPr>
          <w:fldChar w:fldCharType="begin"/>
        </w:r>
        <w:r>
          <w:rPr>
            <w:noProof/>
            <w:webHidden/>
          </w:rPr>
          <w:instrText xml:space="preserve"> PAGEREF _Toc231895250 \h </w:instrText>
        </w:r>
        <w:r>
          <w:rPr>
            <w:noProof/>
            <w:webHidden/>
          </w:rPr>
        </w:r>
        <w:r>
          <w:rPr>
            <w:noProof/>
            <w:webHidden/>
          </w:rPr>
          <w:fldChar w:fldCharType="separate"/>
        </w:r>
        <w:r w:rsidR="00F97260">
          <w:rPr>
            <w:noProof/>
            <w:webHidden/>
          </w:rPr>
          <w:t>82</w:t>
        </w:r>
        <w:r>
          <w:rPr>
            <w:noProof/>
            <w:webHidden/>
          </w:rPr>
          <w:fldChar w:fldCharType="end"/>
        </w:r>
      </w:hyperlink>
    </w:p>
    <w:p w14:paraId="4E6843FD" w14:textId="093419CC"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51" w:history="1">
        <w:r w:rsidRPr="0095399A">
          <w:rPr>
            <w:rStyle w:val="Hyperlink"/>
            <w:noProof/>
          </w:rPr>
          <w:t>21.3.</w:t>
        </w:r>
        <w:r>
          <w:rPr>
            <w:rFonts w:asciiTheme="minorHAnsi" w:eastAsiaTheme="minorEastAsia" w:hAnsiTheme="minorHAnsi" w:cstheme="minorBidi"/>
            <w:noProof/>
            <w:kern w:val="2"/>
            <w:sz w:val="24"/>
            <w:szCs w:val="24"/>
            <w14:ligatures w14:val="standardContextual"/>
          </w:rPr>
          <w:tab/>
        </w:r>
        <w:r w:rsidRPr="0095399A">
          <w:rPr>
            <w:rStyle w:val="Hyperlink"/>
            <w:noProof/>
          </w:rPr>
          <w:t>Quick Reference: Data Breach Response</w:t>
        </w:r>
        <w:r>
          <w:rPr>
            <w:noProof/>
            <w:webHidden/>
          </w:rPr>
          <w:tab/>
        </w:r>
        <w:r>
          <w:rPr>
            <w:noProof/>
            <w:webHidden/>
          </w:rPr>
          <w:fldChar w:fldCharType="begin"/>
        </w:r>
        <w:r>
          <w:rPr>
            <w:noProof/>
            <w:webHidden/>
          </w:rPr>
          <w:instrText xml:space="preserve"> PAGEREF _Toc231895251 \h </w:instrText>
        </w:r>
        <w:r>
          <w:rPr>
            <w:noProof/>
            <w:webHidden/>
          </w:rPr>
        </w:r>
        <w:r>
          <w:rPr>
            <w:noProof/>
            <w:webHidden/>
          </w:rPr>
          <w:fldChar w:fldCharType="separate"/>
        </w:r>
        <w:r w:rsidR="00F97260">
          <w:rPr>
            <w:noProof/>
            <w:webHidden/>
          </w:rPr>
          <w:t>83</w:t>
        </w:r>
        <w:r>
          <w:rPr>
            <w:noProof/>
            <w:webHidden/>
          </w:rPr>
          <w:fldChar w:fldCharType="end"/>
        </w:r>
      </w:hyperlink>
    </w:p>
    <w:p w14:paraId="11052C23" w14:textId="3F3949DC" w:rsidR="009F778D" w:rsidRDefault="009F778D" w:rsidP="002B4E3B">
      <w:pPr>
        <w:pStyle w:val="TOC4"/>
        <w:rPr>
          <w:rFonts w:asciiTheme="minorHAnsi" w:eastAsiaTheme="minorEastAsia" w:hAnsiTheme="minorHAnsi" w:cstheme="minorBidi"/>
          <w:noProof/>
          <w:kern w:val="2"/>
          <w:sz w:val="24"/>
          <w:szCs w:val="24"/>
          <w14:ligatures w14:val="standardContextual"/>
        </w:rPr>
      </w:pPr>
      <w:hyperlink w:anchor="_Toc231895252" w:history="1">
        <w:r w:rsidRPr="0095399A">
          <w:rPr>
            <w:rStyle w:val="Hyperlink"/>
            <w:noProof/>
          </w:rPr>
          <w:t>21.4.</w:t>
        </w:r>
        <w:r>
          <w:rPr>
            <w:rFonts w:asciiTheme="minorHAnsi" w:eastAsiaTheme="minorEastAsia" w:hAnsiTheme="minorHAnsi" w:cstheme="minorBidi"/>
            <w:noProof/>
            <w:kern w:val="2"/>
            <w:sz w:val="24"/>
            <w:szCs w:val="24"/>
            <w14:ligatures w14:val="standardContextual"/>
          </w:rPr>
          <w:tab/>
        </w:r>
        <w:r w:rsidRPr="0095399A">
          <w:rPr>
            <w:rStyle w:val="Hyperlink"/>
            <w:noProof/>
          </w:rPr>
          <w:t>Quick Reference: Key Contacts</w:t>
        </w:r>
        <w:r>
          <w:rPr>
            <w:noProof/>
            <w:webHidden/>
          </w:rPr>
          <w:tab/>
        </w:r>
        <w:r>
          <w:rPr>
            <w:noProof/>
            <w:webHidden/>
          </w:rPr>
          <w:fldChar w:fldCharType="begin"/>
        </w:r>
        <w:r>
          <w:rPr>
            <w:noProof/>
            <w:webHidden/>
          </w:rPr>
          <w:instrText xml:space="preserve"> PAGEREF _Toc231895252 \h </w:instrText>
        </w:r>
        <w:r>
          <w:rPr>
            <w:noProof/>
            <w:webHidden/>
          </w:rPr>
        </w:r>
        <w:r>
          <w:rPr>
            <w:noProof/>
            <w:webHidden/>
          </w:rPr>
          <w:fldChar w:fldCharType="separate"/>
        </w:r>
        <w:r w:rsidR="00F97260">
          <w:rPr>
            <w:noProof/>
            <w:webHidden/>
          </w:rPr>
          <w:t>83</w:t>
        </w:r>
        <w:r>
          <w:rPr>
            <w:noProof/>
            <w:webHidden/>
          </w:rPr>
          <w:fldChar w:fldCharType="end"/>
        </w:r>
      </w:hyperlink>
    </w:p>
    <w:p w14:paraId="0E7AEB6C" w14:textId="2E69605E" w:rsidR="009F778D" w:rsidRDefault="009F778D">
      <w:pPr>
        <w:pStyle w:val="TOC5"/>
        <w:tabs>
          <w:tab w:val="right" w:leader="dot" w:pos="9016"/>
        </w:tabs>
        <w:rPr>
          <w:rFonts w:asciiTheme="minorHAnsi" w:eastAsiaTheme="minorEastAsia" w:hAnsiTheme="minorHAnsi" w:cstheme="minorBidi"/>
          <w:noProof/>
          <w:kern w:val="2"/>
          <w:sz w:val="24"/>
          <w:szCs w:val="24"/>
          <w14:ligatures w14:val="standardContextual"/>
        </w:rPr>
      </w:pPr>
      <w:hyperlink w:anchor="_Toc231895253" w:history="1">
        <w:r w:rsidRPr="0095399A">
          <w:rPr>
            <w:rStyle w:val="Hyperlink"/>
            <w:noProof/>
          </w:rPr>
          <w:t>Implementation Checklist &amp; Timeline</w:t>
        </w:r>
        <w:r>
          <w:rPr>
            <w:noProof/>
            <w:webHidden/>
          </w:rPr>
          <w:tab/>
        </w:r>
        <w:r>
          <w:rPr>
            <w:noProof/>
            <w:webHidden/>
          </w:rPr>
          <w:fldChar w:fldCharType="begin"/>
        </w:r>
        <w:r>
          <w:rPr>
            <w:noProof/>
            <w:webHidden/>
          </w:rPr>
          <w:instrText xml:space="preserve"> PAGEREF _Toc231895253 \h </w:instrText>
        </w:r>
        <w:r>
          <w:rPr>
            <w:noProof/>
            <w:webHidden/>
          </w:rPr>
        </w:r>
        <w:r>
          <w:rPr>
            <w:noProof/>
            <w:webHidden/>
          </w:rPr>
          <w:fldChar w:fldCharType="separate"/>
        </w:r>
        <w:r w:rsidR="00F97260">
          <w:rPr>
            <w:noProof/>
            <w:webHidden/>
          </w:rPr>
          <w:t>84</w:t>
        </w:r>
        <w:r>
          <w:rPr>
            <w:noProof/>
            <w:webHidden/>
          </w:rPr>
          <w:fldChar w:fldCharType="end"/>
        </w:r>
      </w:hyperlink>
    </w:p>
    <w:p w14:paraId="1CA64443" w14:textId="4B97022F" w:rsidR="009F778D" w:rsidRDefault="009F778D">
      <w:pPr>
        <w:pStyle w:val="TOC6"/>
        <w:rPr>
          <w:rFonts w:asciiTheme="minorHAnsi" w:eastAsiaTheme="minorEastAsia" w:hAnsiTheme="minorHAnsi" w:cstheme="minorBidi"/>
          <w:noProof/>
          <w:kern w:val="2"/>
          <w:sz w:val="24"/>
          <w:szCs w:val="24"/>
          <w14:ligatures w14:val="standardContextual"/>
        </w:rPr>
      </w:pPr>
      <w:hyperlink w:anchor="_Toc231895254" w:history="1">
        <w:r w:rsidRPr="0095399A">
          <w:rPr>
            <w:rStyle w:val="Hyperlink"/>
            <w:noProof/>
          </w:rPr>
          <w:t>Implementation overview</w:t>
        </w:r>
        <w:r>
          <w:rPr>
            <w:noProof/>
            <w:webHidden/>
          </w:rPr>
          <w:tab/>
        </w:r>
        <w:r>
          <w:rPr>
            <w:noProof/>
            <w:webHidden/>
          </w:rPr>
          <w:fldChar w:fldCharType="begin"/>
        </w:r>
        <w:r>
          <w:rPr>
            <w:noProof/>
            <w:webHidden/>
          </w:rPr>
          <w:instrText xml:space="preserve"> PAGEREF _Toc231895254 \h </w:instrText>
        </w:r>
        <w:r>
          <w:rPr>
            <w:noProof/>
            <w:webHidden/>
          </w:rPr>
        </w:r>
        <w:r>
          <w:rPr>
            <w:noProof/>
            <w:webHidden/>
          </w:rPr>
          <w:fldChar w:fldCharType="separate"/>
        </w:r>
        <w:r w:rsidR="00F97260">
          <w:rPr>
            <w:noProof/>
            <w:webHidden/>
          </w:rPr>
          <w:t>84</w:t>
        </w:r>
        <w:r>
          <w:rPr>
            <w:noProof/>
            <w:webHidden/>
          </w:rPr>
          <w:fldChar w:fldCharType="end"/>
        </w:r>
      </w:hyperlink>
    </w:p>
    <w:p w14:paraId="31957065" w14:textId="386EF2A3" w:rsidR="009F778D" w:rsidRDefault="009F778D">
      <w:pPr>
        <w:pStyle w:val="TOC6"/>
        <w:rPr>
          <w:rFonts w:asciiTheme="minorHAnsi" w:eastAsiaTheme="minorEastAsia" w:hAnsiTheme="minorHAnsi" w:cstheme="minorBidi"/>
          <w:noProof/>
          <w:kern w:val="2"/>
          <w:sz w:val="24"/>
          <w:szCs w:val="24"/>
          <w14:ligatures w14:val="standardContextual"/>
        </w:rPr>
      </w:pPr>
      <w:hyperlink w:anchor="_Toc231895255" w:history="1">
        <w:r w:rsidRPr="0095399A">
          <w:rPr>
            <w:rStyle w:val="Hyperlink"/>
            <w:noProof/>
          </w:rPr>
          <w:t>Toolkit contents</w:t>
        </w:r>
        <w:r>
          <w:rPr>
            <w:noProof/>
            <w:webHidden/>
          </w:rPr>
          <w:tab/>
        </w:r>
        <w:r>
          <w:rPr>
            <w:noProof/>
            <w:webHidden/>
          </w:rPr>
          <w:fldChar w:fldCharType="begin"/>
        </w:r>
        <w:r>
          <w:rPr>
            <w:noProof/>
            <w:webHidden/>
          </w:rPr>
          <w:instrText xml:space="preserve"> PAGEREF _Toc231895255 \h </w:instrText>
        </w:r>
        <w:r>
          <w:rPr>
            <w:noProof/>
            <w:webHidden/>
          </w:rPr>
        </w:r>
        <w:r>
          <w:rPr>
            <w:noProof/>
            <w:webHidden/>
          </w:rPr>
          <w:fldChar w:fldCharType="separate"/>
        </w:r>
        <w:r w:rsidR="00F97260">
          <w:rPr>
            <w:noProof/>
            <w:webHidden/>
          </w:rPr>
          <w:t>84</w:t>
        </w:r>
        <w:r>
          <w:rPr>
            <w:noProof/>
            <w:webHidden/>
          </w:rPr>
          <w:fldChar w:fldCharType="end"/>
        </w:r>
      </w:hyperlink>
    </w:p>
    <w:p w14:paraId="4D05930E" w14:textId="476AE66E" w:rsidR="009F778D" w:rsidRDefault="009F778D">
      <w:pPr>
        <w:pStyle w:val="TOC5"/>
        <w:tabs>
          <w:tab w:val="right" w:leader="dot" w:pos="9016"/>
        </w:tabs>
        <w:rPr>
          <w:rFonts w:asciiTheme="minorHAnsi" w:eastAsiaTheme="minorEastAsia" w:hAnsiTheme="minorHAnsi" w:cstheme="minorBidi"/>
          <w:noProof/>
          <w:kern w:val="2"/>
          <w:sz w:val="24"/>
          <w:szCs w:val="24"/>
          <w14:ligatures w14:val="standardContextual"/>
        </w:rPr>
      </w:pPr>
      <w:hyperlink w:anchor="_Toc231895256" w:history="1">
        <w:r w:rsidRPr="0095399A">
          <w:rPr>
            <w:rStyle w:val="Hyperlink"/>
            <w:noProof/>
          </w:rPr>
          <w:t>Privacy project – simple implementation</w:t>
        </w:r>
        <w:r>
          <w:rPr>
            <w:noProof/>
            <w:webHidden/>
          </w:rPr>
          <w:tab/>
        </w:r>
        <w:r>
          <w:rPr>
            <w:noProof/>
            <w:webHidden/>
          </w:rPr>
          <w:fldChar w:fldCharType="begin"/>
        </w:r>
        <w:r>
          <w:rPr>
            <w:noProof/>
            <w:webHidden/>
          </w:rPr>
          <w:instrText xml:space="preserve"> PAGEREF _Toc231895256 \h </w:instrText>
        </w:r>
        <w:r>
          <w:rPr>
            <w:noProof/>
            <w:webHidden/>
          </w:rPr>
        </w:r>
        <w:r>
          <w:rPr>
            <w:noProof/>
            <w:webHidden/>
          </w:rPr>
          <w:fldChar w:fldCharType="separate"/>
        </w:r>
        <w:r w:rsidR="00F97260">
          <w:rPr>
            <w:noProof/>
            <w:webHidden/>
          </w:rPr>
          <w:t>84</w:t>
        </w:r>
        <w:r>
          <w:rPr>
            <w:noProof/>
            <w:webHidden/>
          </w:rPr>
          <w:fldChar w:fldCharType="end"/>
        </w:r>
      </w:hyperlink>
    </w:p>
    <w:p w14:paraId="69E75B0C" w14:textId="65D81C0B" w:rsidR="009F778D" w:rsidRDefault="009F778D">
      <w:pPr>
        <w:pStyle w:val="TOC6"/>
        <w:rPr>
          <w:rFonts w:asciiTheme="minorHAnsi" w:eastAsiaTheme="minorEastAsia" w:hAnsiTheme="minorHAnsi" w:cstheme="minorBidi"/>
          <w:noProof/>
          <w:kern w:val="2"/>
          <w:sz w:val="24"/>
          <w:szCs w:val="24"/>
          <w14:ligatures w14:val="standardContextual"/>
        </w:rPr>
      </w:pPr>
      <w:hyperlink w:anchor="_Toc231895257" w:history="1">
        <w:r w:rsidRPr="0095399A">
          <w:rPr>
            <w:rStyle w:val="Hyperlink"/>
            <w:noProof/>
          </w:rPr>
          <w:t>Phase 1: Foundation</w:t>
        </w:r>
        <w:r>
          <w:rPr>
            <w:noProof/>
            <w:webHidden/>
          </w:rPr>
          <w:tab/>
        </w:r>
        <w:r>
          <w:rPr>
            <w:noProof/>
            <w:webHidden/>
          </w:rPr>
          <w:fldChar w:fldCharType="begin"/>
        </w:r>
        <w:r>
          <w:rPr>
            <w:noProof/>
            <w:webHidden/>
          </w:rPr>
          <w:instrText xml:space="preserve"> PAGEREF _Toc231895257 \h </w:instrText>
        </w:r>
        <w:r>
          <w:rPr>
            <w:noProof/>
            <w:webHidden/>
          </w:rPr>
        </w:r>
        <w:r>
          <w:rPr>
            <w:noProof/>
            <w:webHidden/>
          </w:rPr>
          <w:fldChar w:fldCharType="separate"/>
        </w:r>
        <w:r w:rsidR="00F97260">
          <w:rPr>
            <w:noProof/>
            <w:webHidden/>
          </w:rPr>
          <w:t>84</w:t>
        </w:r>
        <w:r>
          <w:rPr>
            <w:noProof/>
            <w:webHidden/>
          </w:rPr>
          <w:fldChar w:fldCharType="end"/>
        </w:r>
      </w:hyperlink>
    </w:p>
    <w:p w14:paraId="6B9CC8D4" w14:textId="7F936C2B" w:rsidR="009F778D" w:rsidRDefault="009F778D">
      <w:pPr>
        <w:pStyle w:val="TOC6"/>
        <w:rPr>
          <w:rFonts w:asciiTheme="minorHAnsi" w:eastAsiaTheme="minorEastAsia" w:hAnsiTheme="minorHAnsi" w:cstheme="minorBidi"/>
          <w:noProof/>
          <w:kern w:val="2"/>
          <w:sz w:val="24"/>
          <w:szCs w:val="24"/>
          <w14:ligatures w14:val="standardContextual"/>
        </w:rPr>
      </w:pPr>
      <w:hyperlink w:anchor="_Toc231895258" w:history="1">
        <w:r w:rsidRPr="0095399A">
          <w:rPr>
            <w:rStyle w:val="Hyperlink"/>
            <w:noProof/>
          </w:rPr>
          <w:t>Phase 2: Documentation</w:t>
        </w:r>
        <w:r>
          <w:rPr>
            <w:noProof/>
            <w:webHidden/>
          </w:rPr>
          <w:tab/>
        </w:r>
        <w:r>
          <w:rPr>
            <w:noProof/>
            <w:webHidden/>
          </w:rPr>
          <w:fldChar w:fldCharType="begin"/>
        </w:r>
        <w:r>
          <w:rPr>
            <w:noProof/>
            <w:webHidden/>
          </w:rPr>
          <w:instrText xml:space="preserve"> PAGEREF _Toc231895258 \h </w:instrText>
        </w:r>
        <w:r>
          <w:rPr>
            <w:noProof/>
            <w:webHidden/>
          </w:rPr>
        </w:r>
        <w:r>
          <w:rPr>
            <w:noProof/>
            <w:webHidden/>
          </w:rPr>
          <w:fldChar w:fldCharType="separate"/>
        </w:r>
        <w:r w:rsidR="00F97260">
          <w:rPr>
            <w:noProof/>
            <w:webHidden/>
          </w:rPr>
          <w:t>84</w:t>
        </w:r>
        <w:r>
          <w:rPr>
            <w:noProof/>
            <w:webHidden/>
          </w:rPr>
          <w:fldChar w:fldCharType="end"/>
        </w:r>
      </w:hyperlink>
    </w:p>
    <w:p w14:paraId="78D15550" w14:textId="66AFA9BB" w:rsidR="009F778D" w:rsidRDefault="009F778D">
      <w:pPr>
        <w:pStyle w:val="TOC6"/>
        <w:rPr>
          <w:rFonts w:asciiTheme="minorHAnsi" w:eastAsiaTheme="minorEastAsia" w:hAnsiTheme="minorHAnsi" w:cstheme="minorBidi"/>
          <w:noProof/>
          <w:kern w:val="2"/>
          <w:sz w:val="24"/>
          <w:szCs w:val="24"/>
          <w14:ligatures w14:val="standardContextual"/>
        </w:rPr>
      </w:pPr>
      <w:hyperlink w:anchor="_Toc231895259" w:history="1">
        <w:r w:rsidRPr="0095399A">
          <w:rPr>
            <w:rStyle w:val="Hyperlink"/>
            <w:noProof/>
          </w:rPr>
          <w:t>Phase 3: Systems &amp; Training</w:t>
        </w:r>
        <w:r>
          <w:rPr>
            <w:noProof/>
            <w:webHidden/>
          </w:rPr>
          <w:tab/>
        </w:r>
        <w:r>
          <w:rPr>
            <w:noProof/>
            <w:webHidden/>
          </w:rPr>
          <w:fldChar w:fldCharType="begin"/>
        </w:r>
        <w:r>
          <w:rPr>
            <w:noProof/>
            <w:webHidden/>
          </w:rPr>
          <w:instrText xml:space="preserve"> PAGEREF _Toc231895259 \h </w:instrText>
        </w:r>
        <w:r>
          <w:rPr>
            <w:noProof/>
            <w:webHidden/>
          </w:rPr>
        </w:r>
        <w:r>
          <w:rPr>
            <w:noProof/>
            <w:webHidden/>
          </w:rPr>
          <w:fldChar w:fldCharType="separate"/>
        </w:r>
        <w:r w:rsidR="00F97260">
          <w:rPr>
            <w:noProof/>
            <w:webHidden/>
          </w:rPr>
          <w:t>84</w:t>
        </w:r>
        <w:r>
          <w:rPr>
            <w:noProof/>
            <w:webHidden/>
          </w:rPr>
          <w:fldChar w:fldCharType="end"/>
        </w:r>
      </w:hyperlink>
    </w:p>
    <w:p w14:paraId="11C2D846" w14:textId="70F38FEB" w:rsidR="009F778D" w:rsidRDefault="009F778D">
      <w:pPr>
        <w:pStyle w:val="TOC6"/>
        <w:rPr>
          <w:rFonts w:asciiTheme="minorHAnsi" w:eastAsiaTheme="minorEastAsia" w:hAnsiTheme="minorHAnsi" w:cstheme="minorBidi"/>
          <w:noProof/>
          <w:kern w:val="2"/>
          <w:sz w:val="24"/>
          <w:szCs w:val="24"/>
          <w14:ligatures w14:val="standardContextual"/>
        </w:rPr>
      </w:pPr>
      <w:hyperlink w:anchor="_Toc231895260" w:history="1">
        <w:r w:rsidRPr="0095399A">
          <w:rPr>
            <w:rStyle w:val="Hyperlink"/>
            <w:noProof/>
          </w:rPr>
          <w:t>Phase 4: AML/CTF Integration</w:t>
        </w:r>
        <w:r>
          <w:rPr>
            <w:noProof/>
            <w:webHidden/>
          </w:rPr>
          <w:tab/>
        </w:r>
        <w:r>
          <w:rPr>
            <w:noProof/>
            <w:webHidden/>
          </w:rPr>
          <w:fldChar w:fldCharType="begin"/>
        </w:r>
        <w:r>
          <w:rPr>
            <w:noProof/>
            <w:webHidden/>
          </w:rPr>
          <w:instrText xml:space="preserve"> PAGEREF _Toc231895260 \h </w:instrText>
        </w:r>
        <w:r>
          <w:rPr>
            <w:noProof/>
            <w:webHidden/>
          </w:rPr>
        </w:r>
        <w:r>
          <w:rPr>
            <w:noProof/>
            <w:webHidden/>
          </w:rPr>
          <w:fldChar w:fldCharType="separate"/>
        </w:r>
        <w:r w:rsidR="00F97260">
          <w:rPr>
            <w:noProof/>
            <w:webHidden/>
          </w:rPr>
          <w:t>85</w:t>
        </w:r>
        <w:r>
          <w:rPr>
            <w:noProof/>
            <w:webHidden/>
          </w:rPr>
          <w:fldChar w:fldCharType="end"/>
        </w:r>
      </w:hyperlink>
    </w:p>
    <w:p w14:paraId="7AEFB2CB" w14:textId="5249360C" w:rsidR="009F778D" w:rsidRDefault="009F778D">
      <w:pPr>
        <w:pStyle w:val="TOC6"/>
        <w:rPr>
          <w:rFonts w:asciiTheme="minorHAnsi" w:eastAsiaTheme="minorEastAsia" w:hAnsiTheme="minorHAnsi" w:cstheme="minorBidi"/>
          <w:noProof/>
          <w:kern w:val="2"/>
          <w:sz w:val="24"/>
          <w:szCs w:val="24"/>
          <w14:ligatures w14:val="standardContextual"/>
        </w:rPr>
      </w:pPr>
      <w:hyperlink w:anchor="_Toc231895261" w:history="1">
        <w:r w:rsidRPr="0095399A">
          <w:rPr>
            <w:rStyle w:val="Hyperlink"/>
            <w:noProof/>
          </w:rPr>
          <w:t>Phase 5: Testing &amp; Refinement</w:t>
        </w:r>
        <w:r>
          <w:rPr>
            <w:noProof/>
            <w:webHidden/>
          </w:rPr>
          <w:tab/>
        </w:r>
        <w:r>
          <w:rPr>
            <w:noProof/>
            <w:webHidden/>
          </w:rPr>
          <w:fldChar w:fldCharType="begin"/>
        </w:r>
        <w:r>
          <w:rPr>
            <w:noProof/>
            <w:webHidden/>
          </w:rPr>
          <w:instrText xml:space="preserve"> PAGEREF _Toc231895261 \h </w:instrText>
        </w:r>
        <w:r>
          <w:rPr>
            <w:noProof/>
            <w:webHidden/>
          </w:rPr>
        </w:r>
        <w:r>
          <w:rPr>
            <w:noProof/>
            <w:webHidden/>
          </w:rPr>
          <w:fldChar w:fldCharType="separate"/>
        </w:r>
        <w:r w:rsidR="00F97260">
          <w:rPr>
            <w:noProof/>
            <w:webHidden/>
          </w:rPr>
          <w:t>85</w:t>
        </w:r>
        <w:r>
          <w:rPr>
            <w:noProof/>
            <w:webHidden/>
          </w:rPr>
          <w:fldChar w:fldCharType="end"/>
        </w:r>
      </w:hyperlink>
    </w:p>
    <w:p w14:paraId="1EA4DF14" w14:textId="58AB0CE2" w:rsidR="00950B7F" w:rsidRPr="002E078B" w:rsidRDefault="00626F93" w:rsidP="002E078B">
      <w:pPr>
        <w:pStyle w:val="Header"/>
        <w:rPr>
          <w:rFonts w:asciiTheme="majorHAnsi" w:hAnsiTheme="majorHAnsi" w:cstheme="majorHAnsi"/>
          <w:b w:val="0"/>
          <w:caps/>
          <w:color w:val="000000" w:themeColor="text1"/>
          <w:sz w:val="24"/>
          <w:szCs w:val="24"/>
        </w:rPr>
      </w:pPr>
      <w:r>
        <w:rPr>
          <w:rFonts w:asciiTheme="majorHAnsi" w:hAnsiTheme="majorHAnsi" w:cstheme="majorHAnsi"/>
          <w:b w:val="0"/>
          <w:caps/>
          <w:color w:val="000000" w:themeColor="text1"/>
          <w:sz w:val="24"/>
          <w:szCs w:val="24"/>
        </w:rPr>
        <w:fldChar w:fldCharType="end"/>
      </w:r>
      <w:r w:rsidR="00950B7F">
        <w:rPr>
          <w:rFonts w:asciiTheme="majorHAnsi" w:hAnsiTheme="majorHAnsi" w:cstheme="majorHAnsi"/>
          <w:b w:val="0"/>
          <w:caps/>
          <w:color w:val="000000" w:themeColor="text1"/>
          <w:sz w:val="24"/>
          <w:szCs w:val="24"/>
        </w:rPr>
        <w:br w:type="page"/>
      </w:r>
    </w:p>
    <w:p w14:paraId="1D404D7D" w14:textId="416D716B" w:rsidR="00876BC1" w:rsidRPr="0056066C" w:rsidRDefault="00876BC1" w:rsidP="00AB13FF">
      <w:pPr>
        <w:pStyle w:val="Header"/>
      </w:pPr>
      <w:bookmarkStart w:id="3" w:name="_Toc231895128"/>
      <w:r w:rsidRPr="0056066C">
        <w:lastRenderedPageBreak/>
        <w:t>PART A</w:t>
      </w:r>
      <w:bookmarkEnd w:id="3"/>
    </w:p>
    <w:p w14:paraId="0FD7C1EC" w14:textId="46E9693C" w:rsidR="005776EE" w:rsidRPr="00876BC1" w:rsidRDefault="00876BC1" w:rsidP="00A30EAA">
      <w:pPr>
        <w:pStyle w:val="Header2"/>
      </w:pPr>
      <w:bookmarkStart w:id="4" w:name="_Toc231895129"/>
      <w:r w:rsidRPr="00876BC1">
        <w:t>INTRODUCTION AND REGULATORY FRAMEWORK</w:t>
      </w:r>
      <w:bookmarkEnd w:id="4"/>
    </w:p>
    <w:p w14:paraId="63373939" w14:textId="7253353C" w:rsidR="005776EE" w:rsidRDefault="005776EE" w:rsidP="0005236E">
      <w:pPr>
        <w:pStyle w:val="NumberedHeading1"/>
      </w:pPr>
      <w:bookmarkStart w:id="5" w:name="_Toc220069825"/>
      <w:bookmarkStart w:id="6" w:name="_Toc220655045"/>
      <w:bookmarkStart w:id="7" w:name="_Toc231895130"/>
      <w:r>
        <w:t>Purpose and Scope of This Manual</w:t>
      </w:r>
      <w:bookmarkEnd w:id="5"/>
      <w:bookmarkEnd w:id="6"/>
      <w:bookmarkEnd w:id="7"/>
    </w:p>
    <w:p w14:paraId="589B2C47" w14:textId="24C08FBB" w:rsidR="005776EE" w:rsidRDefault="005776EE" w:rsidP="00A30EAA">
      <w:pPr>
        <w:pStyle w:val="NumberedHeading2"/>
      </w:pPr>
      <w:bookmarkStart w:id="8" w:name="_Toc220069826"/>
      <w:bookmarkStart w:id="9" w:name="_Toc220655046"/>
      <w:bookmarkStart w:id="10" w:name="_Toc231895131"/>
      <w:r>
        <w:t>Introduction</w:t>
      </w:r>
      <w:bookmarkEnd w:id="8"/>
      <w:bookmarkEnd w:id="9"/>
      <w:bookmarkEnd w:id="10"/>
    </w:p>
    <w:p w14:paraId="2FE23F79" w14:textId="3485F424" w:rsidR="00747699" w:rsidRDefault="005776EE" w:rsidP="00A30EAA">
      <w:pPr>
        <w:pStyle w:val="Body"/>
      </w:pPr>
      <w:r>
        <w:t xml:space="preserve">This Privacy </w:t>
      </w:r>
      <w:r w:rsidR="005C7073">
        <w:t>Compendium</w:t>
      </w:r>
      <w:r>
        <w:t xml:space="preserve"> has been prepared to assist small law firms in Queensland to understand and implement their privacy obligations under the </w:t>
      </w:r>
      <w:r>
        <w:rPr>
          <w:i/>
          <w:iCs/>
        </w:rPr>
        <w:t>Privacy Act 1988</w:t>
      </w:r>
      <w:r>
        <w:t xml:space="preserve"> (</w:t>
      </w:r>
      <w:proofErr w:type="spellStart"/>
      <w:r>
        <w:t>Cth</w:t>
      </w:r>
      <w:proofErr w:type="spellEnd"/>
      <w:r>
        <w:t xml:space="preserve">). </w:t>
      </w:r>
      <w:r w:rsidR="00353FDB">
        <w:t xml:space="preserve">It is always preferable to consult a specialist Privacy </w:t>
      </w:r>
      <w:r w:rsidR="00580D8F">
        <w:t>consultant as part of a compliance project, but if that is not possible this compendium is intended as a starting point.</w:t>
      </w:r>
    </w:p>
    <w:p w14:paraId="4B0F7F90" w14:textId="3FDDE66B" w:rsidR="00AF4591" w:rsidRDefault="00AF4591" w:rsidP="00A30EAA">
      <w:pPr>
        <w:pStyle w:val="Body"/>
      </w:pPr>
      <w:r>
        <w:t>The compendium – as the name suggests – is not intended to be a definitive resource. It is a summary of material prepared by third parties</w:t>
      </w:r>
      <w:r w:rsidR="000814F6">
        <w:t>, in particular the Office of the Australian Information Commissioner</w:t>
      </w:r>
      <w:r>
        <w:t>. For more information</w:t>
      </w:r>
      <w:r w:rsidR="000814F6">
        <w:t xml:space="preserve"> and confirmation always read the full context in the resource referenced.</w:t>
      </w:r>
    </w:p>
    <w:p w14:paraId="2BAD5157" w14:textId="6923A7B1" w:rsidR="00CE62BD" w:rsidRDefault="00CE62BD" w:rsidP="00A30EAA">
      <w:pPr>
        <w:pStyle w:val="Body"/>
      </w:pPr>
      <w:r>
        <w:t>F</w:t>
      </w:r>
      <w:r w:rsidR="005776EE">
        <w:t xml:space="preserve">or many law firms </w:t>
      </w:r>
      <w:r>
        <w:t xml:space="preserve">new Privacy obligations arise </w:t>
      </w:r>
      <w:r w:rsidR="005776EE">
        <w:t>for the first time as a consequence of the Anti-Money Laundering and Counter-Terrorism Financing (AML/CTF) Tranche 2 reforms that commence on 1 July 2026.</w:t>
      </w:r>
      <w:r w:rsidR="005776EE">
        <w:rPr>
          <w:rStyle w:val="FootnoteReference"/>
        </w:rPr>
        <w:footnoteReference w:id="1"/>
      </w:r>
      <w:r w:rsidR="00747699">
        <w:t xml:space="preserve"> </w:t>
      </w:r>
      <w:r w:rsidR="008D17F9">
        <w:t>These obligations are in addition to</w:t>
      </w:r>
      <w:r w:rsidR="001E678C">
        <w:t xml:space="preserve"> a solicitor’s general duty of client confidentiality.</w:t>
      </w:r>
    </w:p>
    <w:p w14:paraId="65AF6076" w14:textId="6BAB74D0" w:rsidR="005776EE" w:rsidRDefault="009F3275" w:rsidP="00A30EAA">
      <w:pPr>
        <w:pStyle w:val="Body"/>
      </w:pPr>
      <w:r>
        <w:t xml:space="preserve">Any firm </w:t>
      </w:r>
      <w:r w:rsidR="00C96C62">
        <w:t xml:space="preserve">(irrespective of turnover) </w:t>
      </w:r>
      <w:r>
        <w:t xml:space="preserve">that provides </w:t>
      </w:r>
      <w:r w:rsidR="005776EE" w:rsidRPr="00747699">
        <w:rPr>
          <w:i/>
          <w:iCs/>
        </w:rPr>
        <w:t>'designated services</w:t>
      </w:r>
      <w:r w:rsidR="005776EE">
        <w:t>'</w:t>
      </w:r>
      <w:r w:rsidR="005776EE">
        <w:rPr>
          <w:rStyle w:val="FootnoteReference"/>
        </w:rPr>
        <w:footnoteReference w:id="2"/>
      </w:r>
      <w:r w:rsidR="005776EE">
        <w:t xml:space="preserve"> </w:t>
      </w:r>
      <w:r>
        <w:t>becomes an AML reporting entity and therefore will have Privacy Act obligations relating to at least some of its data.</w:t>
      </w:r>
      <w:r w:rsidR="005776EE">
        <w:rPr>
          <w:rStyle w:val="FootnoteReference"/>
        </w:rPr>
        <w:footnoteReference w:id="3"/>
      </w:r>
    </w:p>
    <w:p w14:paraId="529A1C4A" w14:textId="3010D78B" w:rsidR="00477F02" w:rsidRPr="00C96C62" w:rsidRDefault="00477F02" w:rsidP="00A30EAA">
      <w:pPr>
        <w:pStyle w:val="Body"/>
      </w:pPr>
      <w:r>
        <w:t xml:space="preserve">Firms with an annual turnover of more than $3 Million are already Privacy Act </w:t>
      </w:r>
      <w:r w:rsidR="00C70391">
        <w:t xml:space="preserve">regulated and </w:t>
      </w:r>
      <w:r w:rsidR="00445E31">
        <w:t>have obligations with respect to all</w:t>
      </w:r>
      <w:r w:rsidR="00C70391">
        <w:t xml:space="preserve"> Personal Information held.</w:t>
      </w:r>
    </w:p>
    <w:p w14:paraId="14146E07" w14:textId="625AAC2C" w:rsidR="005776EE" w:rsidRDefault="005776EE" w:rsidP="00A30EAA">
      <w:pPr>
        <w:pStyle w:val="Body"/>
      </w:pPr>
      <w:r>
        <w:t xml:space="preserve">This </w:t>
      </w:r>
      <w:r w:rsidR="002C26CC">
        <w:t>resource is largely a compendium</w:t>
      </w:r>
      <w:r w:rsidR="00C96C62">
        <w:t xml:space="preserve">, </w:t>
      </w:r>
      <w:r w:rsidR="002C26CC">
        <w:t>providing a brief overview</w:t>
      </w:r>
      <w:r w:rsidR="00FC6E2A">
        <w:t xml:space="preserve"> of material published by regulators and others. </w:t>
      </w:r>
      <w:r w:rsidR="00381F2B">
        <w:t>There are extensive links to the underlying publications. The underlying regulatory publication should always be treated as the source of truth in the case of ambiguity or inconsistency.</w:t>
      </w:r>
    </w:p>
    <w:p w14:paraId="6A4F84AD" w14:textId="74631EC2" w:rsidR="00BA635E" w:rsidRDefault="00357866" w:rsidP="00A30EAA">
      <w:pPr>
        <w:pStyle w:val="Body"/>
      </w:pPr>
      <w:r>
        <w:t>Importantly: the resources and templates that accompany this resource presume that the firm’s turnover is less than $3 Million, and as such it is only AML-CTF related data holdings that are regulated.</w:t>
      </w:r>
    </w:p>
    <w:p w14:paraId="6A65D82F" w14:textId="77777777" w:rsidR="0056066C" w:rsidRDefault="0056066C">
      <w:pPr>
        <w:spacing w:after="0"/>
        <w:rPr>
          <w:b/>
          <w:bCs/>
          <w:iCs/>
          <w:color w:val="0F2D52"/>
          <w:sz w:val="24"/>
          <w:szCs w:val="28"/>
        </w:rPr>
      </w:pPr>
      <w:bookmarkStart w:id="11" w:name="_Toc220069827"/>
      <w:bookmarkStart w:id="12" w:name="_Toc220655047"/>
      <w:r>
        <w:br w:type="page"/>
      </w:r>
    </w:p>
    <w:p w14:paraId="6ECDD03E" w14:textId="61A691FF" w:rsidR="005776EE" w:rsidRDefault="00CF7532" w:rsidP="00A30EAA">
      <w:pPr>
        <w:pStyle w:val="NumberedHeading2"/>
      </w:pPr>
      <w:bookmarkStart w:id="13" w:name="_Toc231895132"/>
      <w:r>
        <w:lastRenderedPageBreak/>
        <w:t>How to</w:t>
      </w:r>
      <w:r w:rsidR="005776EE">
        <w:t xml:space="preserve"> Use This Manual</w:t>
      </w:r>
      <w:bookmarkEnd w:id="11"/>
      <w:bookmarkEnd w:id="12"/>
      <w:bookmarkEnd w:id="13"/>
    </w:p>
    <w:p w14:paraId="2DF9DDB6" w14:textId="5202D4FB" w:rsidR="00CF7532" w:rsidRDefault="00CF7532" w:rsidP="00A30EAA">
      <w:pPr>
        <w:pStyle w:val="Body"/>
      </w:pPr>
      <w:r>
        <w:t xml:space="preserve">While a cover-to-cover read </w:t>
      </w:r>
      <w:r w:rsidR="004C23C7">
        <w:t xml:space="preserve">will provide the best </w:t>
      </w:r>
      <w:r w:rsidR="007865D1">
        <w:t xml:space="preserve">context, </w:t>
      </w:r>
      <w:r w:rsidR="00102924">
        <w:t>chapters are designed to</w:t>
      </w:r>
      <w:r w:rsidR="007865D1">
        <w:t xml:space="preserve"> contain enough stand-alone information </w:t>
      </w:r>
      <w:r w:rsidR="0086015D">
        <w:t xml:space="preserve">to address specific </w:t>
      </w:r>
      <w:r w:rsidR="006D1E6B">
        <w:t>issues</w:t>
      </w:r>
      <w:r w:rsidR="00F21088">
        <w:t>.</w:t>
      </w:r>
      <w:r w:rsidR="001B2B46">
        <w:t xml:space="preserve"> </w:t>
      </w:r>
      <w:r w:rsidR="002B4E3B">
        <w:t>Other resources, such as the Privacy Program Starter Guide may be a more user-friendly overview of what is required. This compendium is intended to provide supplemental information if needed.</w:t>
      </w:r>
    </w:p>
    <w:p w14:paraId="54344497" w14:textId="77777777" w:rsidR="002B4E3B" w:rsidRDefault="002B4E3B" w:rsidP="00A30EAA">
      <w:pPr>
        <w:pStyle w:val="Body"/>
      </w:pPr>
    </w:p>
    <w:tbl>
      <w:tblPr>
        <w:tblW w:w="5000" w:type="pct"/>
        <w:tblInd w:w="-4" w:type="dxa"/>
        <w:tblCellMar>
          <w:left w:w="10" w:type="dxa"/>
          <w:right w:w="10" w:type="dxa"/>
        </w:tblCellMar>
        <w:tblLook w:val="04A0" w:firstRow="1" w:lastRow="0" w:firstColumn="1" w:lastColumn="0" w:noHBand="0" w:noVBand="1"/>
      </w:tblPr>
      <w:tblGrid>
        <w:gridCol w:w="1844"/>
        <w:gridCol w:w="3831"/>
        <w:gridCol w:w="3351"/>
      </w:tblGrid>
      <w:tr w:rsidR="00B2227E" w14:paraId="345162E5" w14:textId="77777777" w:rsidTr="000E1801">
        <w:tc>
          <w:tcPr>
            <w:tcW w:w="1842" w:type="dxa"/>
            <w:shd w:val="clear" w:color="auto" w:fill="0F2D52"/>
            <w:tcMar>
              <w:top w:w="100" w:type="dxa"/>
              <w:left w:w="120" w:type="dxa"/>
              <w:bottom w:w="100" w:type="dxa"/>
              <w:right w:w="120" w:type="dxa"/>
            </w:tcMar>
          </w:tcPr>
          <w:p w14:paraId="02412B24" w14:textId="0AA69148" w:rsidR="00B2227E" w:rsidRPr="00B2227E" w:rsidRDefault="00B2227E" w:rsidP="00876BC1">
            <w:pPr>
              <w:pStyle w:val="TableHeading"/>
            </w:pPr>
            <w:r>
              <w:t>Who?</w:t>
            </w:r>
          </w:p>
        </w:tc>
        <w:tc>
          <w:tcPr>
            <w:tcW w:w="3827" w:type="dxa"/>
            <w:shd w:val="clear" w:color="auto" w:fill="0F2D52"/>
            <w:tcMar>
              <w:top w:w="100" w:type="dxa"/>
              <w:left w:w="120" w:type="dxa"/>
              <w:bottom w:w="100" w:type="dxa"/>
              <w:right w:w="120" w:type="dxa"/>
            </w:tcMar>
          </w:tcPr>
          <w:p w14:paraId="1920A81F" w14:textId="7A521A6B" w:rsidR="00B2227E" w:rsidRPr="00B2227E" w:rsidRDefault="00B2227E" w:rsidP="00876BC1">
            <w:pPr>
              <w:pStyle w:val="TableHeading"/>
            </w:pPr>
            <w:r>
              <w:t>Objective</w:t>
            </w:r>
          </w:p>
        </w:tc>
        <w:tc>
          <w:tcPr>
            <w:tcW w:w="3347" w:type="dxa"/>
            <w:shd w:val="clear" w:color="auto" w:fill="0F2D52"/>
            <w:tcMar>
              <w:top w:w="100" w:type="dxa"/>
              <w:left w:w="120" w:type="dxa"/>
              <w:bottom w:w="100" w:type="dxa"/>
              <w:right w:w="120" w:type="dxa"/>
            </w:tcMar>
          </w:tcPr>
          <w:p w14:paraId="14DE6EE7" w14:textId="18F1CE10" w:rsidR="00B2227E" w:rsidRPr="00B2227E" w:rsidRDefault="006B0E25" w:rsidP="00876BC1">
            <w:pPr>
              <w:pStyle w:val="TableHeading"/>
            </w:pPr>
            <w:r>
              <w:t>Most relevant chapters</w:t>
            </w:r>
          </w:p>
        </w:tc>
      </w:tr>
      <w:tr w:rsidR="00B2227E" w14:paraId="221DFB94" w14:textId="77777777" w:rsidTr="000E1801">
        <w:tc>
          <w:tcPr>
            <w:tcW w:w="1842" w:type="dxa"/>
            <w:tcBorders>
              <w:bottom w:val="single" w:sz="4" w:space="0" w:color="auto"/>
            </w:tcBorders>
            <w:tcMar>
              <w:top w:w="100" w:type="dxa"/>
              <w:left w:w="120" w:type="dxa"/>
              <w:bottom w:w="100" w:type="dxa"/>
              <w:right w:w="120" w:type="dxa"/>
            </w:tcMar>
          </w:tcPr>
          <w:p w14:paraId="314BAFE7" w14:textId="48E340CE" w:rsidR="00B2227E" w:rsidRPr="00876BC1" w:rsidRDefault="000B051F" w:rsidP="00257E78">
            <w:pPr>
              <w:pStyle w:val="Tablecontent"/>
              <w:rPr>
                <w:b/>
                <w:bCs/>
              </w:rPr>
            </w:pPr>
            <w:r w:rsidRPr="00876BC1">
              <w:rPr>
                <w:b/>
                <w:bCs/>
              </w:rPr>
              <w:t>Principal</w:t>
            </w:r>
          </w:p>
        </w:tc>
        <w:tc>
          <w:tcPr>
            <w:tcW w:w="3827" w:type="dxa"/>
            <w:tcBorders>
              <w:bottom w:val="single" w:sz="4" w:space="0" w:color="auto"/>
            </w:tcBorders>
            <w:tcMar>
              <w:top w:w="100" w:type="dxa"/>
              <w:left w:w="120" w:type="dxa"/>
              <w:bottom w:w="100" w:type="dxa"/>
              <w:right w:w="120" w:type="dxa"/>
            </w:tcMar>
          </w:tcPr>
          <w:p w14:paraId="3FA7FA0C" w14:textId="76AA96C5" w:rsidR="00B2227E" w:rsidRPr="00257E78" w:rsidRDefault="006B0E25" w:rsidP="00257E78">
            <w:pPr>
              <w:pStyle w:val="Tablecontent"/>
            </w:pPr>
            <w:r w:rsidRPr="00257E78">
              <w:t>Understand what is changing and overview what will be needed.</w:t>
            </w:r>
          </w:p>
        </w:tc>
        <w:tc>
          <w:tcPr>
            <w:tcW w:w="3347" w:type="dxa"/>
            <w:tcBorders>
              <w:bottom w:val="single" w:sz="4" w:space="0" w:color="auto"/>
            </w:tcBorders>
            <w:tcMar>
              <w:top w:w="100" w:type="dxa"/>
              <w:left w:w="120" w:type="dxa"/>
              <w:bottom w:w="100" w:type="dxa"/>
              <w:right w:w="120" w:type="dxa"/>
            </w:tcMar>
          </w:tcPr>
          <w:p w14:paraId="2A3082FD" w14:textId="4055E5CF" w:rsidR="000B051F" w:rsidRPr="00257E78" w:rsidRDefault="00DF6A44" w:rsidP="00257E78">
            <w:pPr>
              <w:pStyle w:val="Tablecontent"/>
            </w:pPr>
            <w:r w:rsidRPr="00257E78">
              <w:t>Part A (Chapters 1-3), Chapters 4, 5 and 8</w:t>
            </w:r>
          </w:p>
        </w:tc>
      </w:tr>
      <w:tr w:rsidR="00B2227E" w14:paraId="63B052BF" w14:textId="77777777" w:rsidTr="000E1801">
        <w:tc>
          <w:tcPr>
            <w:tcW w:w="1842" w:type="dxa"/>
            <w:tcBorders>
              <w:top w:val="single" w:sz="4" w:space="0" w:color="auto"/>
              <w:bottom w:val="single" w:sz="4" w:space="0" w:color="auto"/>
            </w:tcBorders>
            <w:tcMar>
              <w:top w:w="100" w:type="dxa"/>
              <w:left w:w="120" w:type="dxa"/>
              <w:bottom w:w="100" w:type="dxa"/>
              <w:right w:w="120" w:type="dxa"/>
            </w:tcMar>
          </w:tcPr>
          <w:p w14:paraId="7349242B" w14:textId="3E5F969B" w:rsidR="00B2227E" w:rsidRPr="00876BC1" w:rsidRDefault="00B32094" w:rsidP="00257E78">
            <w:pPr>
              <w:pStyle w:val="Tablecontent"/>
              <w:rPr>
                <w:b/>
                <w:bCs/>
              </w:rPr>
            </w:pPr>
            <w:r w:rsidRPr="00876BC1">
              <w:rPr>
                <w:b/>
                <w:bCs/>
              </w:rPr>
              <w:t>a</w:t>
            </w:r>
          </w:p>
        </w:tc>
        <w:tc>
          <w:tcPr>
            <w:tcW w:w="3827" w:type="dxa"/>
            <w:tcBorders>
              <w:top w:val="single" w:sz="4" w:space="0" w:color="auto"/>
              <w:bottom w:val="single" w:sz="4" w:space="0" w:color="auto"/>
            </w:tcBorders>
            <w:tcMar>
              <w:top w:w="100" w:type="dxa"/>
              <w:left w:w="120" w:type="dxa"/>
              <w:bottom w:w="100" w:type="dxa"/>
              <w:right w:w="120" w:type="dxa"/>
            </w:tcMar>
          </w:tcPr>
          <w:p w14:paraId="57FD89CB" w14:textId="5A08BEAE" w:rsidR="00B2227E" w:rsidRPr="00257E78" w:rsidRDefault="00D422F7" w:rsidP="00257E78">
            <w:pPr>
              <w:pStyle w:val="Tablecontent"/>
            </w:pPr>
            <w:r w:rsidRPr="00257E78">
              <w:t xml:space="preserve">Compliance program for a very small firm (undertaking </w:t>
            </w:r>
            <w:r w:rsidR="00261111" w:rsidRPr="00257E78">
              <w:t xml:space="preserve">all </w:t>
            </w:r>
            <w:r w:rsidRPr="00257E78">
              <w:t>work yourself)</w:t>
            </w:r>
          </w:p>
        </w:tc>
        <w:tc>
          <w:tcPr>
            <w:tcW w:w="3347" w:type="dxa"/>
            <w:tcBorders>
              <w:top w:val="single" w:sz="4" w:space="0" w:color="auto"/>
              <w:bottom w:val="single" w:sz="4" w:space="0" w:color="auto"/>
            </w:tcBorders>
            <w:tcMar>
              <w:top w:w="100" w:type="dxa"/>
              <w:left w:w="120" w:type="dxa"/>
              <w:bottom w:w="100" w:type="dxa"/>
              <w:right w:w="120" w:type="dxa"/>
            </w:tcMar>
          </w:tcPr>
          <w:p w14:paraId="4ED858C1" w14:textId="77777777" w:rsidR="00B2227E" w:rsidRDefault="00B421EE" w:rsidP="00257E78">
            <w:pPr>
              <w:pStyle w:val="Tablecontent"/>
            </w:pPr>
            <w:r w:rsidRPr="00257E78">
              <w:t>Chapters:</w:t>
            </w:r>
          </w:p>
          <w:p w14:paraId="349C1A79" w14:textId="1C59F718" w:rsidR="002B4E3B" w:rsidRPr="002B4E3B" w:rsidRDefault="002B4E3B" w:rsidP="002B4E3B">
            <w:pPr>
              <w:pStyle w:val="Tablecontent"/>
            </w:pPr>
            <w:r>
              <w:t>Start with the Privacy Program Starter Guide. Refer back to this compendium as required.</w:t>
            </w:r>
          </w:p>
        </w:tc>
      </w:tr>
      <w:tr w:rsidR="00B2227E" w14:paraId="663B5209" w14:textId="77777777" w:rsidTr="000E1801">
        <w:tc>
          <w:tcPr>
            <w:tcW w:w="1842" w:type="dxa"/>
            <w:tcBorders>
              <w:top w:val="single" w:sz="4" w:space="0" w:color="auto"/>
              <w:bottom w:val="single" w:sz="4" w:space="0" w:color="auto"/>
            </w:tcBorders>
            <w:tcMar>
              <w:top w:w="100" w:type="dxa"/>
              <w:left w:w="120" w:type="dxa"/>
              <w:bottom w:w="100" w:type="dxa"/>
              <w:right w:w="120" w:type="dxa"/>
            </w:tcMar>
          </w:tcPr>
          <w:p w14:paraId="7E634B77" w14:textId="48607CEC" w:rsidR="00B2227E" w:rsidRPr="00876BC1" w:rsidRDefault="00B32094" w:rsidP="00257E78">
            <w:pPr>
              <w:pStyle w:val="Tablecontent"/>
              <w:rPr>
                <w:b/>
                <w:bCs/>
              </w:rPr>
            </w:pPr>
            <w:r w:rsidRPr="00876BC1">
              <w:rPr>
                <w:b/>
                <w:bCs/>
              </w:rPr>
              <w:t>b</w:t>
            </w:r>
          </w:p>
        </w:tc>
        <w:tc>
          <w:tcPr>
            <w:tcW w:w="3827" w:type="dxa"/>
            <w:tcBorders>
              <w:top w:val="single" w:sz="4" w:space="0" w:color="auto"/>
              <w:bottom w:val="single" w:sz="4" w:space="0" w:color="auto"/>
            </w:tcBorders>
            <w:tcMar>
              <w:top w:w="100" w:type="dxa"/>
              <w:left w:w="120" w:type="dxa"/>
              <w:bottom w:w="100" w:type="dxa"/>
              <w:right w:w="120" w:type="dxa"/>
            </w:tcMar>
          </w:tcPr>
          <w:p w14:paraId="42530B84" w14:textId="64566351" w:rsidR="00B2227E" w:rsidRPr="00257E78" w:rsidRDefault="00D422F7" w:rsidP="00257E78">
            <w:pPr>
              <w:pStyle w:val="Tablecontent"/>
            </w:pPr>
            <w:r w:rsidRPr="00257E78">
              <w:t xml:space="preserve">Compliance program for </w:t>
            </w:r>
            <w:r w:rsidR="00B32094" w:rsidRPr="00257E78">
              <w:t>small firm (delegating or getting assistance)</w:t>
            </w:r>
          </w:p>
        </w:tc>
        <w:tc>
          <w:tcPr>
            <w:tcW w:w="3347" w:type="dxa"/>
            <w:tcBorders>
              <w:top w:val="single" w:sz="4" w:space="0" w:color="auto"/>
              <w:bottom w:val="single" w:sz="4" w:space="0" w:color="auto"/>
            </w:tcBorders>
            <w:tcMar>
              <w:top w:w="100" w:type="dxa"/>
              <w:left w:w="120" w:type="dxa"/>
              <w:bottom w:w="100" w:type="dxa"/>
              <w:right w:w="120" w:type="dxa"/>
            </w:tcMar>
          </w:tcPr>
          <w:p w14:paraId="45E19B9F" w14:textId="77777777" w:rsidR="00B421EE" w:rsidRPr="00257E78" w:rsidRDefault="00B421EE" w:rsidP="00257E78">
            <w:pPr>
              <w:pStyle w:val="Tablecontent"/>
            </w:pPr>
            <w:r w:rsidRPr="00257E78">
              <w:t>Chapters:</w:t>
            </w:r>
          </w:p>
          <w:p w14:paraId="06EDA764" w14:textId="2E81421D" w:rsidR="00B2227E" w:rsidRPr="00257E78" w:rsidRDefault="002B4E3B" w:rsidP="00257E78">
            <w:pPr>
              <w:pStyle w:val="Tablecontent"/>
            </w:pPr>
            <w:r>
              <w:t>N/a – use the Privacy Program Starter Guide instead</w:t>
            </w:r>
          </w:p>
        </w:tc>
      </w:tr>
      <w:tr w:rsidR="00F6377E" w14:paraId="20B9BEC6" w14:textId="77777777" w:rsidTr="000E1801">
        <w:tc>
          <w:tcPr>
            <w:tcW w:w="1842" w:type="dxa"/>
            <w:tcBorders>
              <w:top w:val="single" w:sz="4" w:space="0" w:color="auto"/>
              <w:bottom w:val="single" w:sz="4" w:space="0" w:color="auto"/>
            </w:tcBorders>
            <w:tcMar>
              <w:top w:w="100" w:type="dxa"/>
              <w:left w:w="120" w:type="dxa"/>
              <w:bottom w:w="100" w:type="dxa"/>
              <w:right w:w="120" w:type="dxa"/>
            </w:tcMar>
          </w:tcPr>
          <w:p w14:paraId="5C886B41" w14:textId="45B57E24" w:rsidR="00F6377E" w:rsidRPr="00876BC1" w:rsidRDefault="00CA3B57" w:rsidP="00257E78">
            <w:pPr>
              <w:pStyle w:val="Tablecontent"/>
              <w:rPr>
                <w:b/>
                <w:bCs/>
              </w:rPr>
            </w:pPr>
            <w:r w:rsidRPr="00876BC1">
              <w:rPr>
                <w:b/>
                <w:bCs/>
              </w:rPr>
              <w:t>c</w:t>
            </w:r>
          </w:p>
        </w:tc>
        <w:tc>
          <w:tcPr>
            <w:tcW w:w="3827" w:type="dxa"/>
            <w:tcBorders>
              <w:top w:val="single" w:sz="4" w:space="0" w:color="auto"/>
              <w:bottom w:val="single" w:sz="4" w:space="0" w:color="auto"/>
            </w:tcBorders>
            <w:tcMar>
              <w:top w:w="100" w:type="dxa"/>
              <w:left w:w="120" w:type="dxa"/>
              <w:bottom w:w="100" w:type="dxa"/>
              <w:right w:w="120" w:type="dxa"/>
            </w:tcMar>
          </w:tcPr>
          <w:p w14:paraId="788787C2" w14:textId="0028CD55" w:rsidR="00F6377E" w:rsidRPr="00257E78" w:rsidRDefault="00886CCF" w:rsidP="00257E78">
            <w:pPr>
              <w:pStyle w:val="Tablecontent"/>
            </w:pPr>
            <w:r w:rsidRPr="00257E78">
              <w:t>Ongoing supervision: e</w:t>
            </w:r>
            <w:r w:rsidR="0005321C" w:rsidRPr="00257E78">
              <w:t>nsuring programs are operating correctly (</w:t>
            </w:r>
            <w:r w:rsidR="00972DF7" w:rsidRPr="00257E78">
              <w:t>as time permits)</w:t>
            </w:r>
          </w:p>
        </w:tc>
        <w:tc>
          <w:tcPr>
            <w:tcW w:w="3347" w:type="dxa"/>
            <w:tcBorders>
              <w:top w:val="single" w:sz="4" w:space="0" w:color="auto"/>
              <w:bottom w:val="single" w:sz="4" w:space="0" w:color="auto"/>
            </w:tcBorders>
            <w:tcMar>
              <w:top w:w="100" w:type="dxa"/>
              <w:left w:w="120" w:type="dxa"/>
              <w:bottom w:w="100" w:type="dxa"/>
              <w:right w:w="120" w:type="dxa"/>
            </w:tcMar>
          </w:tcPr>
          <w:p w14:paraId="5E095D8A" w14:textId="77777777" w:rsidR="00886CCF" w:rsidRPr="00257E78" w:rsidRDefault="00886CCF" w:rsidP="00257E78">
            <w:pPr>
              <w:pStyle w:val="Tablecontent"/>
            </w:pPr>
            <w:r w:rsidRPr="00257E78">
              <w:t>Chapters:</w:t>
            </w:r>
          </w:p>
          <w:p w14:paraId="027013F1" w14:textId="21A4B860" w:rsidR="00F6377E" w:rsidRPr="00257E78" w:rsidRDefault="002B4E3B" w:rsidP="00257E78">
            <w:pPr>
              <w:pStyle w:val="Tablecontent"/>
            </w:pPr>
            <w:r>
              <w:t>Part E: Operationalizing Privacy</w:t>
            </w:r>
          </w:p>
        </w:tc>
      </w:tr>
      <w:tr w:rsidR="00B2227E" w14:paraId="018FE4B6" w14:textId="77777777" w:rsidTr="000E1801">
        <w:tc>
          <w:tcPr>
            <w:tcW w:w="1842" w:type="dxa"/>
            <w:tcBorders>
              <w:top w:val="single" w:sz="4" w:space="0" w:color="auto"/>
              <w:bottom w:val="single" w:sz="4" w:space="0" w:color="auto"/>
            </w:tcBorders>
            <w:tcMar>
              <w:top w:w="100" w:type="dxa"/>
              <w:left w:w="120" w:type="dxa"/>
              <w:bottom w:w="100" w:type="dxa"/>
              <w:right w:w="120" w:type="dxa"/>
            </w:tcMar>
          </w:tcPr>
          <w:p w14:paraId="0CC711A4" w14:textId="541A1490" w:rsidR="00B2227E" w:rsidRPr="00876BC1" w:rsidRDefault="00B421EE" w:rsidP="00257E78">
            <w:pPr>
              <w:pStyle w:val="Tablecontent"/>
              <w:rPr>
                <w:b/>
                <w:bCs/>
              </w:rPr>
            </w:pPr>
            <w:r w:rsidRPr="00876BC1">
              <w:rPr>
                <w:b/>
                <w:bCs/>
              </w:rPr>
              <w:t>Privacy Officer</w:t>
            </w:r>
          </w:p>
        </w:tc>
        <w:tc>
          <w:tcPr>
            <w:tcW w:w="3827" w:type="dxa"/>
            <w:tcBorders>
              <w:top w:val="single" w:sz="4" w:space="0" w:color="auto"/>
              <w:bottom w:val="single" w:sz="4" w:space="0" w:color="auto"/>
            </w:tcBorders>
            <w:tcMar>
              <w:top w:w="100" w:type="dxa"/>
              <w:left w:w="120" w:type="dxa"/>
              <w:bottom w:w="100" w:type="dxa"/>
              <w:right w:w="120" w:type="dxa"/>
            </w:tcMar>
          </w:tcPr>
          <w:p w14:paraId="4BFC8968" w14:textId="6F5E2A55" w:rsidR="00B2227E" w:rsidRPr="00257E78" w:rsidRDefault="00B421EE" w:rsidP="00257E78">
            <w:pPr>
              <w:pStyle w:val="Tablecontent"/>
            </w:pPr>
            <w:r w:rsidRPr="00257E78">
              <w:t>Setting up a privacy compliance program</w:t>
            </w:r>
            <w:r w:rsidR="00AC3348" w:rsidRPr="00257E78">
              <w:t xml:space="preserve"> for an enterprise up to $3M </w:t>
            </w:r>
            <w:r w:rsidR="00C97B1E" w:rsidRPr="00257E78">
              <w:t>(or slightly above)</w:t>
            </w:r>
          </w:p>
        </w:tc>
        <w:tc>
          <w:tcPr>
            <w:tcW w:w="3347" w:type="dxa"/>
            <w:tcBorders>
              <w:top w:val="single" w:sz="4" w:space="0" w:color="auto"/>
              <w:bottom w:val="single" w:sz="4" w:space="0" w:color="auto"/>
            </w:tcBorders>
            <w:tcMar>
              <w:top w:w="100" w:type="dxa"/>
              <w:left w:w="120" w:type="dxa"/>
              <w:bottom w:w="100" w:type="dxa"/>
              <w:right w:w="120" w:type="dxa"/>
            </w:tcMar>
          </w:tcPr>
          <w:p w14:paraId="1F218C7E" w14:textId="77777777" w:rsidR="00B421EE" w:rsidRPr="00257E78" w:rsidRDefault="00B421EE" w:rsidP="00257E78">
            <w:pPr>
              <w:pStyle w:val="Tablecontent"/>
            </w:pPr>
            <w:r w:rsidRPr="00257E78">
              <w:t>Chapters:</w:t>
            </w:r>
          </w:p>
          <w:p w14:paraId="323049E7" w14:textId="65177A8A" w:rsidR="00B2227E" w:rsidRPr="00257E78" w:rsidRDefault="00B421EE" w:rsidP="00257E78">
            <w:pPr>
              <w:pStyle w:val="Tablecontent"/>
            </w:pPr>
            <w:r w:rsidRPr="00257E78">
              <w:rPr>
                <w:highlight w:val="yellow"/>
              </w:rPr>
              <w:t>&lt;&lt; list &gt;&gt;</w:t>
            </w:r>
          </w:p>
        </w:tc>
      </w:tr>
      <w:tr w:rsidR="00271CE9" w14:paraId="30DEE5E5" w14:textId="77777777" w:rsidTr="000E1801">
        <w:tc>
          <w:tcPr>
            <w:tcW w:w="1842" w:type="dxa"/>
            <w:tcBorders>
              <w:top w:val="single" w:sz="4" w:space="0" w:color="auto"/>
              <w:bottom w:val="single" w:sz="4" w:space="0" w:color="auto"/>
            </w:tcBorders>
            <w:tcMar>
              <w:top w:w="100" w:type="dxa"/>
              <w:left w:w="120" w:type="dxa"/>
              <w:bottom w:w="100" w:type="dxa"/>
              <w:right w:w="120" w:type="dxa"/>
            </w:tcMar>
          </w:tcPr>
          <w:p w14:paraId="0845B9AA" w14:textId="4761B148" w:rsidR="00271CE9" w:rsidRPr="00876BC1" w:rsidRDefault="00271CE9" w:rsidP="00257E78">
            <w:pPr>
              <w:pStyle w:val="Tablecontent"/>
              <w:rPr>
                <w:b/>
                <w:bCs/>
              </w:rPr>
            </w:pPr>
          </w:p>
        </w:tc>
        <w:tc>
          <w:tcPr>
            <w:tcW w:w="3827" w:type="dxa"/>
            <w:tcBorders>
              <w:top w:val="single" w:sz="4" w:space="0" w:color="auto"/>
              <w:bottom w:val="single" w:sz="4" w:space="0" w:color="auto"/>
            </w:tcBorders>
            <w:tcMar>
              <w:top w:w="100" w:type="dxa"/>
              <w:left w:w="120" w:type="dxa"/>
              <w:bottom w:w="100" w:type="dxa"/>
              <w:right w:w="120" w:type="dxa"/>
            </w:tcMar>
          </w:tcPr>
          <w:p w14:paraId="75F0744A" w14:textId="1B43D826" w:rsidR="00271CE9" w:rsidRPr="00257E78" w:rsidRDefault="00271CE9" w:rsidP="00257E78">
            <w:pPr>
              <w:pStyle w:val="Tablecontent"/>
            </w:pPr>
            <w:r w:rsidRPr="00257E78">
              <w:t>Managing an existing program</w:t>
            </w:r>
          </w:p>
        </w:tc>
        <w:tc>
          <w:tcPr>
            <w:tcW w:w="3347" w:type="dxa"/>
            <w:tcBorders>
              <w:top w:val="single" w:sz="4" w:space="0" w:color="auto"/>
              <w:bottom w:val="single" w:sz="4" w:space="0" w:color="auto"/>
            </w:tcBorders>
            <w:tcMar>
              <w:top w:w="100" w:type="dxa"/>
              <w:left w:w="120" w:type="dxa"/>
              <w:bottom w:w="100" w:type="dxa"/>
              <w:right w:w="120" w:type="dxa"/>
            </w:tcMar>
          </w:tcPr>
          <w:p w14:paraId="4D2A5980" w14:textId="77777777" w:rsidR="00271CE9" w:rsidRPr="00257E78" w:rsidRDefault="00271CE9" w:rsidP="00257E78">
            <w:pPr>
              <w:pStyle w:val="Tablecontent"/>
            </w:pPr>
            <w:r w:rsidRPr="00257E78">
              <w:t>Chapters:</w:t>
            </w:r>
          </w:p>
          <w:p w14:paraId="24AA35CE" w14:textId="6CB87504" w:rsidR="00271CE9" w:rsidRPr="00257E78" w:rsidRDefault="00271CE9" w:rsidP="00257E78">
            <w:pPr>
              <w:pStyle w:val="Tablecontent"/>
            </w:pPr>
            <w:r w:rsidRPr="00855EB0">
              <w:rPr>
                <w:highlight w:val="yellow"/>
              </w:rPr>
              <w:t>&lt;&lt; list &gt;&gt;</w:t>
            </w:r>
          </w:p>
        </w:tc>
      </w:tr>
      <w:tr w:rsidR="00271CE9" w14:paraId="2B178665" w14:textId="77777777" w:rsidTr="000E1801">
        <w:tc>
          <w:tcPr>
            <w:tcW w:w="1842" w:type="dxa"/>
            <w:tcBorders>
              <w:top w:val="single" w:sz="4" w:space="0" w:color="auto"/>
              <w:bottom w:val="single" w:sz="4" w:space="0" w:color="auto"/>
            </w:tcBorders>
            <w:tcMar>
              <w:top w:w="100" w:type="dxa"/>
              <w:left w:w="120" w:type="dxa"/>
              <w:bottom w:w="100" w:type="dxa"/>
              <w:right w:w="120" w:type="dxa"/>
            </w:tcMar>
          </w:tcPr>
          <w:p w14:paraId="722655A9" w14:textId="5AA5BE36" w:rsidR="00271CE9" w:rsidRPr="00876BC1" w:rsidRDefault="00271CE9" w:rsidP="00257E78">
            <w:pPr>
              <w:pStyle w:val="Tablecontent"/>
              <w:rPr>
                <w:b/>
                <w:bCs/>
              </w:rPr>
            </w:pPr>
            <w:r w:rsidRPr="00876BC1">
              <w:rPr>
                <w:b/>
                <w:bCs/>
              </w:rPr>
              <w:t>Practice Manager</w:t>
            </w:r>
          </w:p>
        </w:tc>
        <w:tc>
          <w:tcPr>
            <w:tcW w:w="3827" w:type="dxa"/>
            <w:tcBorders>
              <w:top w:val="single" w:sz="4" w:space="0" w:color="auto"/>
              <w:bottom w:val="single" w:sz="4" w:space="0" w:color="auto"/>
            </w:tcBorders>
            <w:tcMar>
              <w:top w:w="100" w:type="dxa"/>
              <w:left w:w="120" w:type="dxa"/>
              <w:bottom w:w="100" w:type="dxa"/>
              <w:right w:w="120" w:type="dxa"/>
            </w:tcMar>
          </w:tcPr>
          <w:p w14:paraId="7D5BBD2A" w14:textId="77777777" w:rsidR="00271CE9" w:rsidRPr="00257E78" w:rsidRDefault="00271CE9" w:rsidP="00257E78">
            <w:pPr>
              <w:pStyle w:val="Tablecontent"/>
            </w:pPr>
            <w:r w:rsidRPr="00257E78">
              <w:t>Implementing training program</w:t>
            </w:r>
          </w:p>
          <w:p w14:paraId="23F85F3D" w14:textId="190DA7CA" w:rsidR="00271CE9" w:rsidRPr="00257E78" w:rsidRDefault="00271CE9" w:rsidP="00257E78">
            <w:pPr>
              <w:pStyle w:val="Tablecontent"/>
            </w:pPr>
            <w:r w:rsidRPr="00257E78">
              <w:t>access requests</w:t>
            </w:r>
          </w:p>
          <w:p w14:paraId="43B11B92" w14:textId="0EF69132" w:rsidR="00271CE9" w:rsidRPr="00257E78" w:rsidRDefault="00271CE9" w:rsidP="00257E78">
            <w:pPr>
              <w:pStyle w:val="Tablecontent"/>
            </w:pPr>
            <w:r w:rsidRPr="00257E78">
              <w:t>Responding to data incidents</w:t>
            </w:r>
          </w:p>
        </w:tc>
        <w:tc>
          <w:tcPr>
            <w:tcW w:w="3347" w:type="dxa"/>
            <w:tcBorders>
              <w:top w:val="single" w:sz="4" w:space="0" w:color="auto"/>
              <w:bottom w:val="single" w:sz="4" w:space="0" w:color="auto"/>
            </w:tcBorders>
            <w:tcMar>
              <w:top w:w="100" w:type="dxa"/>
              <w:left w:w="120" w:type="dxa"/>
              <w:bottom w:w="100" w:type="dxa"/>
              <w:right w:w="120" w:type="dxa"/>
            </w:tcMar>
          </w:tcPr>
          <w:p w14:paraId="6F892218" w14:textId="77777777" w:rsidR="00271CE9" w:rsidRPr="00257E78" w:rsidRDefault="00271CE9" w:rsidP="00257E78">
            <w:pPr>
              <w:pStyle w:val="Tablecontent"/>
            </w:pPr>
            <w:r w:rsidRPr="00257E78">
              <w:t>Chapters:</w:t>
            </w:r>
          </w:p>
          <w:p w14:paraId="7C7B8E85" w14:textId="7AEDDC11" w:rsidR="00271CE9" w:rsidRPr="00257E78" w:rsidRDefault="00271CE9" w:rsidP="00257E78">
            <w:pPr>
              <w:pStyle w:val="Tablecontent"/>
            </w:pPr>
            <w:r w:rsidRPr="00257E78">
              <w:rPr>
                <w:highlight w:val="yellow"/>
              </w:rPr>
              <w:t>&lt;&lt; list &gt;&gt;</w:t>
            </w:r>
          </w:p>
        </w:tc>
      </w:tr>
      <w:tr w:rsidR="00271CE9" w14:paraId="35AE0A81" w14:textId="77777777" w:rsidTr="000E1801">
        <w:tc>
          <w:tcPr>
            <w:tcW w:w="1842" w:type="dxa"/>
            <w:tcBorders>
              <w:top w:val="single" w:sz="4" w:space="0" w:color="auto"/>
              <w:bottom w:val="single" w:sz="4" w:space="0" w:color="auto"/>
            </w:tcBorders>
            <w:tcMar>
              <w:top w:w="100" w:type="dxa"/>
              <w:left w:w="120" w:type="dxa"/>
              <w:bottom w:w="100" w:type="dxa"/>
              <w:right w:w="120" w:type="dxa"/>
            </w:tcMar>
          </w:tcPr>
          <w:p w14:paraId="408B90C1" w14:textId="46FDD297" w:rsidR="00271CE9" w:rsidRPr="00E3267A" w:rsidRDefault="00CA3B57" w:rsidP="00E3267A">
            <w:pPr>
              <w:pStyle w:val="Tablecontent"/>
              <w:rPr>
                <w:b/>
                <w:bCs/>
              </w:rPr>
            </w:pPr>
            <w:r w:rsidRPr="00E3267A">
              <w:rPr>
                <w:b/>
                <w:bCs/>
              </w:rPr>
              <w:t>AML CTF Compliance officer</w:t>
            </w:r>
          </w:p>
        </w:tc>
        <w:tc>
          <w:tcPr>
            <w:tcW w:w="3827" w:type="dxa"/>
            <w:tcBorders>
              <w:top w:val="single" w:sz="4" w:space="0" w:color="auto"/>
              <w:bottom w:val="single" w:sz="4" w:space="0" w:color="auto"/>
            </w:tcBorders>
            <w:tcMar>
              <w:top w:w="100" w:type="dxa"/>
              <w:left w:w="120" w:type="dxa"/>
              <w:bottom w:w="100" w:type="dxa"/>
              <w:right w:w="120" w:type="dxa"/>
            </w:tcMar>
          </w:tcPr>
          <w:p w14:paraId="2AC21628" w14:textId="1B74832D" w:rsidR="00271CE9" w:rsidRPr="00E3267A" w:rsidRDefault="00717D5C" w:rsidP="00E3267A">
            <w:pPr>
              <w:pStyle w:val="Tablecontent"/>
            </w:pPr>
            <w:r w:rsidRPr="00E3267A">
              <w:t>appropriate record keeping</w:t>
            </w:r>
          </w:p>
          <w:p w14:paraId="453D2191" w14:textId="5FD90E5E" w:rsidR="00717D5C" w:rsidRPr="00E3267A" w:rsidRDefault="00717D5C" w:rsidP="00E3267A">
            <w:pPr>
              <w:pStyle w:val="Tablecontent"/>
            </w:pPr>
            <w:r w:rsidRPr="00E3267A">
              <w:t>necessary information collection and disclosure is properly notified</w:t>
            </w:r>
          </w:p>
        </w:tc>
        <w:tc>
          <w:tcPr>
            <w:tcW w:w="3347" w:type="dxa"/>
            <w:tcBorders>
              <w:top w:val="single" w:sz="4" w:space="0" w:color="auto"/>
              <w:bottom w:val="single" w:sz="4" w:space="0" w:color="auto"/>
            </w:tcBorders>
            <w:tcMar>
              <w:top w:w="100" w:type="dxa"/>
              <w:left w:w="120" w:type="dxa"/>
              <w:bottom w:w="100" w:type="dxa"/>
              <w:right w:w="120" w:type="dxa"/>
            </w:tcMar>
          </w:tcPr>
          <w:p w14:paraId="4AC7E705" w14:textId="77777777" w:rsidR="00717D5C" w:rsidRPr="00E3267A" w:rsidRDefault="00717D5C" w:rsidP="00E3267A">
            <w:pPr>
              <w:pStyle w:val="Tablecontent"/>
            </w:pPr>
            <w:r w:rsidRPr="00E3267A">
              <w:t>Chapters:</w:t>
            </w:r>
          </w:p>
          <w:p w14:paraId="553D8F44" w14:textId="71F6888D" w:rsidR="00271CE9" w:rsidRPr="00E3267A" w:rsidRDefault="00717D5C" w:rsidP="00E3267A">
            <w:pPr>
              <w:pStyle w:val="Tablecontent"/>
            </w:pPr>
            <w:r w:rsidRPr="00E3267A">
              <w:rPr>
                <w:highlight w:val="yellow"/>
              </w:rPr>
              <w:t>&lt;&lt; list &gt;&gt;</w:t>
            </w:r>
          </w:p>
        </w:tc>
      </w:tr>
    </w:tbl>
    <w:p w14:paraId="32C8558E" w14:textId="77777777" w:rsidR="00A30EAA" w:rsidRDefault="00A30EAA" w:rsidP="00A30EAA">
      <w:pPr>
        <w:pStyle w:val="Body"/>
      </w:pPr>
    </w:p>
    <w:p w14:paraId="2E71B81C" w14:textId="56952564" w:rsidR="00B83803" w:rsidRDefault="00C27EFA" w:rsidP="00A30EAA">
      <w:pPr>
        <w:pStyle w:val="Body"/>
      </w:pPr>
      <w:r>
        <w:t>This assumes the following breakdown of responsibilities</w:t>
      </w:r>
      <w:r w:rsidR="00B83803">
        <w:t>:</w:t>
      </w:r>
    </w:p>
    <w:p w14:paraId="5334DF92" w14:textId="0BDC9754" w:rsidR="00B83803" w:rsidRDefault="00B83803" w:rsidP="00A30EAA">
      <w:pPr>
        <w:pStyle w:val="Body"/>
        <w:rPr>
          <w:b/>
          <w:bCs/>
        </w:rPr>
      </w:pPr>
      <w:r>
        <w:rPr>
          <w:b/>
          <w:bCs/>
        </w:rPr>
        <w:t xml:space="preserve">Firm Principals, </w:t>
      </w:r>
      <w:r w:rsidRPr="00FD77FA">
        <w:t>and Legal Practitioner Directors</w:t>
      </w:r>
      <w:r>
        <w:rPr>
          <w:b/>
          <w:bCs/>
        </w:rPr>
        <w:t xml:space="preserve"> </w:t>
      </w:r>
      <w:r w:rsidRPr="00FD77FA">
        <w:t>who</w:t>
      </w:r>
      <w:r>
        <w:rPr>
          <w:b/>
          <w:bCs/>
        </w:rPr>
        <w:t xml:space="preserve"> </w:t>
      </w:r>
      <w:r>
        <w:t xml:space="preserve">bear ultimate responsibility for the firm's compliance with legal obligations, including privacy obligations. </w:t>
      </w:r>
    </w:p>
    <w:p w14:paraId="7ADA58AA" w14:textId="5AD908D6" w:rsidR="005776EE" w:rsidRDefault="005776EE" w:rsidP="00A30EAA">
      <w:pPr>
        <w:pStyle w:val="Body"/>
      </w:pPr>
      <w:r>
        <w:rPr>
          <w:b/>
          <w:bCs/>
        </w:rPr>
        <w:t xml:space="preserve">Privacy Officers </w:t>
      </w:r>
      <w:r>
        <w:t xml:space="preserve">are responsible for the day-to-day management of privacy </w:t>
      </w:r>
      <w:r w:rsidR="00B614DC">
        <w:t>policies</w:t>
      </w:r>
      <w:r>
        <w:t>. This manual and the accompanying toolkit provide the Privacy Officer with the resources needed to implement and maintain the firm's privacy management framework.</w:t>
      </w:r>
      <w:r w:rsidR="00E5648D">
        <w:t xml:space="preserve"> </w:t>
      </w:r>
      <w:r w:rsidR="00DF5C12">
        <w:t>T</w:t>
      </w:r>
      <w:r w:rsidR="00964CF1">
        <w:t xml:space="preserve">his manual is only intended as a summary so reliance on </w:t>
      </w:r>
      <w:r w:rsidR="00E5648D">
        <w:t xml:space="preserve">primary </w:t>
      </w:r>
      <w:r w:rsidR="00964CF1">
        <w:t>OAIC guidance will be necessary.</w:t>
      </w:r>
      <w:r w:rsidR="009F40F0">
        <w:rPr>
          <w:rStyle w:val="FootnoteReference"/>
        </w:rPr>
        <w:footnoteReference w:id="4"/>
      </w:r>
      <w:r w:rsidR="00964CF1">
        <w:t xml:space="preserve"> </w:t>
      </w:r>
    </w:p>
    <w:p w14:paraId="25885EEE" w14:textId="706F6579" w:rsidR="005776EE" w:rsidRDefault="005776EE" w:rsidP="00A30EAA">
      <w:pPr>
        <w:pStyle w:val="Body"/>
      </w:pPr>
      <w:r>
        <w:rPr>
          <w:b/>
          <w:bCs/>
        </w:rPr>
        <w:lastRenderedPageBreak/>
        <w:t xml:space="preserve">Practice Managers and </w:t>
      </w:r>
      <w:r w:rsidR="00964CF1">
        <w:rPr>
          <w:b/>
          <w:bCs/>
        </w:rPr>
        <w:t>Support</w:t>
      </w:r>
      <w:r>
        <w:rPr>
          <w:b/>
          <w:bCs/>
        </w:rPr>
        <w:t xml:space="preserve"> Staff </w:t>
      </w:r>
      <w:r>
        <w:t xml:space="preserve">may be called upon to assist with implementing privacy procedures, delivering training, or handling access and correction requests. </w:t>
      </w:r>
    </w:p>
    <w:p w14:paraId="788C7F8F" w14:textId="77777777" w:rsidR="00655B71" w:rsidRDefault="005776EE" w:rsidP="00A30EAA">
      <w:pPr>
        <w:pStyle w:val="Body"/>
      </w:pPr>
      <w:r>
        <w:rPr>
          <w:b/>
          <w:bCs/>
        </w:rPr>
        <w:t xml:space="preserve">AML/CTF Compliance Officers </w:t>
      </w:r>
      <w:r>
        <w:t>appointed under the AML/CTF regime should understand the interaction between AML/CTF and privacy obligations, particularly as explained in Chapter 9 of this manual. Privacy and AML/CTF compliance are closely connected, and in many small firms the same person may hold both roles.</w:t>
      </w:r>
    </w:p>
    <w:p w14:paraId="479B5112" w14:textId="5C7B12C9" w:rsidR="00161AB8" w:rsidRDefault="00161AB8" w:rsidP="00A30EAA">
      <w:pPr>
        <w:pStyle w:val="Body"/>
      </w:pPr>
      <w:r>
        <w:t>IT Staff and Information security officers must understand what security promises have been made in the Privacy Act materials</w:t>
      </w:r>
      <w:r w:rsidR="005D32BA">
        <w:t>.</w:t>
      </w:r>
    </w:p>
    <w:p w14:paraId="74C874A9" w14:textId="68522777" w:rsidR="005776EE" w:rsidRDefault="005776EE" w:rsidP="00A30EAA">
      <w:pPr>
        <w:pStyle w:val="NumberedHeading2"/>
      </w:pPr>
      <w:bookmarkStart w:id="14" w:name="_Toc220069828"/>
      <w:bookmarkStart w:id="15" w:name="_Toc220655048"/>
      <w:bookmarkStart w:id="16" w:name="_Toc231895133"/>
      <w:r>
        <w:t>How This Manual is Organised</w:t>
      </w:r>
      <w:bookmarkEnd w:id="14"/>
      <w:bookmarkEnd w:id="15"/>
      <w:bookmarkEnd w:id="16"/>
    </w:p>
    <w:p w14:paraId="49307BCB" w14:textId="03851E34" w:rsidR="005776EE" w:rsidRDefault="005776EE" w:rsidP="00A30EAA">
      <w:pPr>
        <w:pStyle w:val="Body"/>
      </w:pPr>
      <w:r>
        <w:t>This manual is organised into seven parts, each addressing a distinct aspect:</w:t>
      </w:r>
    </w:p>
    <w:p w14:paraId="0C04D65D" w14:textId="16FC5268" w:rsidR="00140F7D" w:rsidRPr="00140F7D" w:rsidRDefault="00140F7D" w:rsidP="00876BC1">
      <w:pPr>
        <w:pStyle w:val="Heading4"/>
        <w:rPr>
          <w:i/>
        </w:rPr>
      </w:pPr>
      <w:r w:rsidRPr="00876BC1">
        <w:t>Background</w:t>
      </w:r>
    </w:p>
    <w:p w14:paraId="6409F316" w14:textId="14055F1D" w:rsidR="005776EE" w:rsidRDefault="005776EE" w:rsidP="00A30EAA">
      <w:pPr>
        <w:pStyle w:val="Body"/>
      </w:pPr>
      <w:r>
        <w:rPr>
          <w:b/>
          <w:bCs/>
        </w:rPr>
        <w:t xml:space="preserve">Part A: Introduction and Regulatory Framework </w:t>
      </w:r>
      <w:r>
        <w:t xml:space="preserve">(Chapters 1-3) </w:t>
      </w:r>
      <w:r w:rsidR="00E10289">
        <w:t>overview</w:t>
      </w:r>
      <w:r>
        <w:t xml:space="preserve">, </w:t>
      </w:r>
      <w:r w:rsidR="001A1141">
        <w:t>regulatory changes from</w:t>
      </w:r>
      <w:r>
        <w:t xml:space="preserve"> 1 July 2026, the </w:t>
      </w:r>
      <w:r w:rsidR="001A1141">
        <w:t>interaction between</w:t>
      </w:r>
      <w:r>
        <w:t xml:space="preserve"> </w:t>
      </w:r>
      <w:r w:rsidR="001A1141">
        <w:t xml:space="preserve">the </w:t>
      </w:r>
      <w:r>
        <w:t>Privacy Act, A</w:t>
      </w:r>
      <w:r w:rsidR="00747FB7">
        <w:t xml:space="preserve">ustralian </w:t>
      </w:r>
      <w:r>
        <w:t>P</w:t>
      </w:r>
      <w:r w:rsidR="00747FB7">
        <w:t xml:space="preserve">rivacy </w:t>
      </w:r>
      <w:r>
        <w:t>P</w:t>
      </w:r>
      <w:r w:rsidR="00747FB7">
        <w:t>rinciples (“APPs”)</w:t>
      </w:r>
      <w:r>
        <w:t>, and the AML/CTF regime.</w:t>
      </w:r>
    </w:p>
    <w:p w14:paraId="6CBF72C0" w14:textId="0E04184F" w:rsidR="005776EE" w:rsidRDefault="005776EE" w:rsidP="00A30EAA">
      <w:pPr>
        <w:pStyle w:val="Body"/>
      </w:pPr>
      <w:r>
        <w:rPr>
          <w:b/>
          <w:bCs/>
        </w:rPr>
        <w:t xml:space="preserve">Part B: From Confidentiality to Privacy Compliance </w:t>
      </w:r>
      <w:r>
        <w:t>(Chapters 4-6) the distinction between confidentiality obligations solicitors have always observed and the new statutory privacy obligations.</w:t>
      </w:r>
    </w:p>
    <w:p w14:paraId="07A20ED6" w14:textId="53D11813" w:rsidR="005776EE" w:rsidRDefault="005776EE" w:rsidP="00A30EAA">
      <w:pPr>
        <w:pStyle w:val="Body"/>
      </w:pPr>
      <w:r>
        <w:rPr>
          <w:b/>
          <w:bCs/>
        </w:rPr>
        <w:t xml:space="preserve">Part C: The Australian Privacy Principles Explained </w:t>
      </w:r>
      <w:r>
        <w:t>(Chapters 7-9) provide a</w:t>
      </w:r>
      <w:r w:rsidR="002B6590">
        <w:t xml:space="preserve"> brief overview </w:t>
      </w:r>
      <w:r>
        <w:t>of each of the 13 APPs, with particular focus on those most relevant to law firm practice and their interaction with AML/CTF obligations.</w:t>
      </w:r>
    </w:p>
    <w:p w14:paraId="5CFEDF36" w14:textId="6AA83DF8" w:rsidR="009368CD" w:rsidRPr="009368CD" w:rsidRDefault="009368CD" w:rsidP="00876BC1">
      <w:pPr>
        <w:pStyle w:val="Heading4"/>
      </w:pPr>
      <w:r w:rsidRPr="009368CD">
        <w:t xml:space="preserve">Getting compliance </w:t>
      </w:r>
      <w:r w:rsidRPr="00261C91">
        <w:t>ready</w:t>
      </w:r>
    </w:p>
    <w:p w14:paraId="6F1FEE8C" w14:textId="45FEDA06" w:rsidR="005776EE" w:rsidRDefault="005776EE" w:rsidP="00A30EAA">
      <w:pPr>
        <w:pStyle w:val="Body"/>
      </w:pPr>
      <w:r>
        <w:rPr>
          <w:b/>
          <w:bCs/>
        </w:rPr>
        <w:t xml:space="preserve">Part D: Using the Compliance Toolkit </w:t>
      </w:r>
      <w:r>
        <w:t>(Chapters 10-12) provides document-by-document guidance on implementing the seven toolkit templates that accompany this manual.</w:t>
      </w:r>
    </w:p>
    <w:p w14:paraId="370F63A6" w14:textId="65F56AB8" w:rsidR="005776EE" w:rsidRDefault="005776EE" w:rsidP="00A30EAA">
      <w:pPr>
        <w:pStyle w:val="Body"/>
      </w:pPr>
      <w:r>
        <w:rPr>
          <w:b/>
          <w:bCs/>
        </w:rPr>
        <w:t xml:space="preserve">Part E: Implementation Roadmap </w:t>
      </w:r>
      <w:r>
        <w:t>(Chapters 13-15) sets out a phased implementation plan, staff training requirements, and ongoing monitoring.</w:t>
      </w:r>
    </w:p>
    <w:p w14:paraId="2065AF31" w14:textId="2A9F5714" w:rsidR="00261C91" w:rsidRPr="00261C91" w:rsidRDefault="00261C91" w:rsidP="00876BC1">
      <w:pPr>
        <w:pStyle w:val="Heading4"/>
      </w:pPr>
      <w:r w:rsidRPr="00261C91">
        <w:t>Running a privacy program once it is established</w:t>
      </w:r>
    </w:p>
    <w:p w14:paraId="646EBBA2" w14:textId="77777777" w:rsidR="005776EE" w:rsidRDefault="005776EE" w:rsidP="00A30EAA">
      <w:pPr>
        <w:pStyle w:val="Body"/>
      </w:pPr>
      <w:r>
        <w:rPr>
          <w:b/>
          <w:bCs/>
        </w:rPr>
        <w:t xml:space="preserve">Part F: Handling Privacy Events </w:t>
      </w:r>
      <w:r>
        <w:t>(Chapters 16-18) provides operational guidance on handling access and correction requests, responding to data breaches, and managing privacy complaints.</w:t>
      </w:r>
    </w:p>
    <w:p w14:paraId="07211803" w14:textId="6BDE1037" w:rsidR="005776EE" w:rsidRDefault="005776EE" w:rsidP="00A30EAA">
      <w:pPr>
        <w:pStyle w:val="Body"/>
      </w:pPr>
      <w:r>
        <w:rPr>
          <w:b/>
          <w:bCs/>
        </w:rPr>
        <w:t xml:space="preserve">Part G: Resources and References </w:t>
      </w:r>
      <w:r>
        <w:t>(Chapters 19-21) consolidates OAIC guidance, provides a glossary of key terms, and includes quick reference checklists for common compliance activities.</w:t>
      </w:r>
      <w:r w:rsidR="00CA3ADD">
        <w:t xml:space="preserve"> The document templates are </w:t>
      </w:r>
      <w:r w:rsidR="005F42D8">
        <w:t>appended to Part G.</w:t>
      </w:r>
    </w:p>
    <w:p w14:paraId="5A2C4F95" w14:textId="77777777" w:rsidR="001F3BAF" w:rsidRDefault="001F3BAF">
      <w:pPr>
        <w:spacing w:after="0"/>
        <w:rPr>
          <w:b/>
          <w:bCs/>
          <w:iCs/>
          <w:color w:val="0F2D52"/>
          <w:sz w:val="24"/>
          <w:szCs w:val="28"/>
        </w:rPr>
      </w:pPr>
      <w:bookmarkStart w:id="17" w:name="_Toc220069829"/>
      <w:bookmarkStart w:id="18" w:name="_Toc220655049"/>
      <w:r>
        <w:br w:type="page"/>
      </w:r>
    </w:p>
    <w:p w14:paraId="2F183043" w14:textId="7EDBE21D" w:rsidR="005776EE" w:rsidRDefault="005776EE" w:rsidP="00A30EAA">
      <w:pPr>
        <w:pStyle w:val="NumberedHeading2"/>
      </w:pPr>
      <w:bookmarkStart w:id="19" w:name="_Toc231895134"/>
      <w:r>
        <w:lastRenderedPageBreak/>
        <w:t xml:space="preserve">The Compliance Toolkit — Documents at a </w:t>
      </w:r>
      <w:r w:rsidR="0084112B">
        <w:t>g</w:t>
      </w:r>
      <w:r>
        <w:t>lance</w:t>
      </w:r>
      <w:bookmarkEnd w:id="17"/>
      <w:bookmarkEnd w:id="18"/>
      <w:bookmarkEnd w:id="19"/>
    </w:p>
    <w:p w14:paraId="19F702CC" w14:textId="77777777" w:rsidR="0084112B" w:rsidRDefault="005776EE" w:rsidP="00A30EAA">
      <w:pPr>
        <w:pStyle w:val="Body"/>
      </w:pPr>
      <w:r>
        <w:t xml:space="preserve">This manual is accompanied by seven </w:t>
      </w:r>
      <w:r w:rsidR="008D1008">
        <w:t>basic</w:t>
      </w:r>
      <w:r>
        <w:t xml:space="preserve"> compliance documents, collectively referred to as the 'Compliance Toolkit'. </w:t>
      </w:r>
    </w:p>
    <w:p w14:paraId="4E004CFC" w14:textId="6F59D8DE" w:rsidR="005776EE" w:rsidRDefault="005776EE" w:rsidP="00A30EAA">
      <w:pPr>
        <w:pStyle w:val="Body"/>
      </w:pPr>
      <w:r>
        <w:t xml:space="preserve">These documents have been designed to implement the </w:t>
      </w:r>
      <w:r w:rsidR="009A47BA">
        <w:rPr>
          <w:b/>
          <w:bCs/>
        </w:rPr>
        <w:t>core</w:t>
      </w:r>
      <w:r w:rsidR="008D1008">
        <w:t xml:space="preserve"> </w:t>
      </w:r>
      <w:r>
        <w:t>requirements of the OAIC's Privacy Management Framework</w:t>
      </w:r>
      <w:r>
        <w:rPr>
          <w:rStyle w:val="FootnoteReference"/>
        </w:rPr>
        <w:footnoteReference w:id="5"/>
      </w:r>
      <w:r>
        <w:t xml:space="preserve"> and to satisfy the obligation under APP 1.2 to take reasonable steps to implement practices</w:t>
      </w:r>
      <w:r w:rsidR="00747FB7">
        <w:t xml:space="preserve"> compliant</w:t>
      </w:r>
      <w:r>
        <w:t xml:space="preserve"> with the APPs.</w:t>
      </w:r>
      <w:r>
        <w:rPr>
          <w:rStyle w:val="FootnoteReference"/>
        </w:rPr>
        <w:footnoteReference w:id="6"/>
      </w:r>
      <w:r w:rsidR="009A47BA">
        <w:t xml:space="preserve"> Using these basic templates will not necessarily implement best practice.</w:t>
      </w:r>
    </w:p>
    <w:p w14:paraId="7C9646CB" w14:textId="77777777" w:rsidR="005776EE" w:rsidRDefault="005776EE" w:rsidP="00A30EAA">
      <w:pPr>
        <w:pStyle w:val="Body"/>
      </w:pPr>
      <w:r>
        <w:t>The toolkit documents are:</w:t>
      </w:r>
    </w:p>
    <w:p w14:paraId="49713CA3" w14:textId="77777777" w:rsidR="002B4E3B" w:rsidRDefault="002B4E3B" w:rsidP="00A30EAA">
      <w:pPr>
        <w:pStyle w:val="Body"/>
      </w:pPr>
    </w:p>
    <w:tbl>
      <w:tblPr>
        <w:tblW w:w="5000" w:type="pct"/>
        <w:tblInd w:w="-4" w:type="dxa"/>
        <w:tblCellMar>
          <w:left w:w="10" w:type="dxa"/>
          <w:right w:w="10" w:type="dxa"/>
        </w:tblCellMar>
        <w:tblLook w:val="04A0" w:firstRow="1" w:lastRow="0" w:firstColumn="1" w:lastColumn="0" w:noHBand="0" w:noVBand="1"/>
      </w:tblPr>
      <w:tblGrid>
        <w:gridCol w:w="800"/>
        <w:gridCol w:w="3200"/>
        <w:gridCol w:w="5026"/>
      </w:tblGrid>
      <w:tr w:rsidR="005776EE" w14:paraId="7EACFE76" w14:textId="77777777" w:rsidTr="000E1801">
        <w:trPr>
          <w:trHeight w:val="207"/>
        </w:trPr>
        <w:tc>
          <w:tcPr>
            <w:tcW w:w="800" w:type="dxa"/>
            <w:shd w:val="clear" w:color="auto" w:fill="0F2D52"/>
            <w:tcMar>
              <w:top w:w="100" w:type="dxa"/>
              <w:left w:w="120" w:type="dxa"/>
              <w:bottom w:w="100" w:type="dxa"/>
              <w:right w:w="120" w:type="dxa"/>
            </w:tcMar>
          </w:tcPr>
          <w:p w14:paraId="2C26E57D" w14:textId="77777777" w:rsidR="005776EE" w:rsidRPr="009D0AE1" w:rsidRDefault="005776EE" w:rsidP="00876BC1">
            <w:pPr>
              <w:pStyle w:val="TableHeading"/>
            </w:pPr>
            <w:r w:rsidRPr="009D0AE1">
              <w:t>Doc</w:t>
            </w:r>
          </w:p>
        </w:tc>
        <w:tc>
          <w:tcPr>
            <w:tcW w:w="3200" w:type="dxa"/>
            <w:shd w:val="clear" w:color="auto" w:fill="0F2D52"/>
            <w:tcMar>
              <w:top w:w="100" w:type="dxa"/>
              <w:left w:w="120" w:type="dxa"/>
              <w:bottom w:w="100" w:type="dxa"/>
              <w:right w:w="120" w:type="dxa"/>
            </w:tcMar>
          </w:tcPr>
          <w:p w14:paraId="6B3EBD1B" w14:textId="77777777" w:rsidR="005776EE" w:rsidRPr="009D0AE1" w:rsidRDefault="005776EE" w:rsidP="00876BC1">
            <w:pPr>
              <w:pStyle w:val="TableHeading"/>
            </w:pPr>
            <w:r w:rsidRPr="009D0AE1">
              <w:t>Document Title</w:t>
            </w:r>
          </w:p>
        </w:tc>
        <w:tc>
          <w:tcPr>
            <w:tcW w:w="5026" w:type="dxa"/>
            <w:shd w:val="clear" w:color="auto" w:fill="0F2D52"/>
            <w:tcMar>
              <w:top w:w="100" w:type="dxa"/>
              <w:left w:w="120" w:type="dxa"/>
              <w:bottom w:w="100" w:type="dxa"/>
              <w:right w:w="120" w:type="dxa"/>
            </w:tcMar>
          </w:tcPr>
          <w:p w14:paraId="60E9A6B3" w14:textId="77777777" w:rsidR="005776EE" w:rsidRPr="009D0AE1" w:rsidRDefault="005776EE" w:rsidP="00876BC1">
            <w:pPr>
              <w:pStyle w:val="TableHeading"/>
            </w:pPr>
            <w:r w:rsidRPr="009D0AE1">
              <w:t>Primary Purpose</w:t>
            </w:r>
          </w:p>
        </w:tc>
      </w:tr>
      <w:tr w:rsidR="005776EE" w14:paraId="59F1A56F" w14:textId="77777777" w:rsidTr="000E1801">
        <w:tc>
          <w:tcPr>
            <w:tcW w:w="800" w:type="dxa"/>
            <w:tcBorders>
              <w:bottom w:val="single" w:sz="4" w:space="0" w:color="auto"/>
            </w:tcBorders>
            <w:tcMar>
              <w:top w:w="100" w:type="dxa"/>
              <w:left w:w="120" w:type="dxa"/>
              <w:bottom w:w="100" w:type="dxa"/>
              <w:right w:w="120" w:type="dxa"/>
            </w:tcMar>
          </w:tcPr>
          <w:p w14:paraId="4DAAE21D" w14:textId="77777777" w:rsidR="005776EE" w:rsidRDefault="005776EE" w:rsidP="00876BC1">
            <w:pPr>
              <w:pStyle w:val="Tablecontent"/>
            </w:pPr>
            <w:r>
              <w:t>01</w:t>
            </w:r>
          </w:p>
        </w:tc>
        <w:tc>
          <w:tcPr>
            <w:tcW w:w="3200" w:type="dxa"/>
            <w:tcBorders>
              <w:bottom w:val="single" w:sz="4" w:space="0" w:color="auto"/>
            </w:tcBorders>
            <w:tcMar>
              <w:top w:w="100" w:type="dxa"/>
              <w:left w:w="120" w:type="dxa"/>
              <w:bottom w:w="100" w:type="dxa"/>
              <w:right w:w="120" w:type="dxa"/>
            </w:tcMar>
          </w:tcPr>
          <w:p w14:paraId="2FB14615" w14:textId="77777777" w:rsidR="005776EE" w:rsidRDefault="005776EE" w:rsidP="00876BC1">
            <w:pPr>
              <w:pStyle w:val="Tablecontent"/>
            </w:pPr>
            <w:r>
              <w:t>Privacy Policy Template</w:t>
            </w:r>
          </w:p>
        </w:tc>
        <w:tc>
          <w:tcPr>
            <w:tcW w:w="5026" w:type="dxa"/>
            <w:tcBorders>
              <w:bottom w:val="single" w:sz="4" w:space="0" w:color="auto"/>
            </w:tcBorders>
            <w:tcMar>
              <w:top w:w="100" w:type="dxa"/>
              <w:left w:w="120" w:type="dxa"/>
              <w:bottom w:w="100" w:type="dxa"/>
              <w:right w:w="120" w:type="dxa"/>
            </w:tcMar>
          </w:tcPr>
          <w:p w14:paraId="3EDA5B69" w14:textId="25FA3CA7" w:rsidR="00F966C0" w:rsidRDefault="005776EE" w:rsidP="00876BC1">
            <w:pPr>
              <w:pStyle w:val="Tablecontent"/>
            </w:pPr>
            <w:r>
              <w:t>APP 1 compliant privacy policy for publication on the firm's website, integrating AML/CTF-specific collection and retention requirements</w:t>
            </w:r>
          </w:p>
        </w:tc>
      </w:tr>
      <w:tr w:rsidR="005776EE" w14:paraId="2D4270CC" w14:textId="77777777" w:rsidTr="000E1801">
        <w:tc>
          <w:tcPr>
            <w:tcW w:w="800" w:type="dxa"/>
            <w:tcBorders>
              <w:top w:val="single" w:sz="4" w:space="0" w:color="auto"/>
              <w:bottom w:val="single" w:sz="4" w:space="0" w:color="auto"/>
            </w:tcBorders>
            <w:tcMar>
              <w:top w:w="100" w:type="dxa"/>
              <w:left w:w="120" w:type="dxa"/>
              <w:bottom w:w="100" w:type="dxa"/>
              <w:right w:w="120" w:type="dxa"/>
            </w:tcMar>
          </w:tcPr>
          <w:p w14:paraId="26646872" w14:textId="77777777" w:rsidR="005776EE" w:rsidRDefault="005776EE" w:rsidP="00876BC1">
            <w:pPr>
              <w:pStyle w:val="Tablecontent"/>
            </w:pPr>
            <w:r>
              <w:t>02</w:t>
            </w:r>
          </w:p>
        </w:tc>
        <w:tc>
          <w:tcPr>
            <w:tcW w:w="3200" w:type="dxa"/>
            <w:tcBorders>
              <w:top w:val="single" w:sz="4" w:space="0" w:color="auto"/>
              <w:bottom w:val="single" w:sz="4" w:space="0" w:color="auto"/>
            </w:tcBorders>
            <w:tcMar>
              <w:top w:w="100" w:type="dxa"/>
              <w:left w:w="120" w:type="dxa"/>
              <w:bottom w:w="100" w:type="dxa"/>
              <w:right w:w="120" w:type="dxa"/>
            </w:tcMar>
          </w:tcPr>
          <w:p w14:paraId="75079E13" w14:textId="6B45DE46" w:rsidR="005776EE" w:rsidRDefault="005776EE" w:rsidP="00876BC1">
            <w:pPr>
              <w:pStyle w:val="Tablecontent"/>
            </w:pPr>
            <w:r>
              <w:t>Collection Notice Template</w:t>
            </w:r>
          </w:p>
        </w:tc>
        <w:tc>
          <w:tcPr>
            <w:tcW w:w="5026" w:type="dxa"/>
            <w:tcBorders>
              <w:top w:val="single" w:sz="4" w:space="0" w:color="auto"/>
              <w:bottom w:val="single" w:sz="4" w:space="0" w:color="auto"/>
            </w:tcBorders>
            <w:tcMar>
              <w:top w:w="100" w:type="dxa"/>
              <w:left w:w="120" w:type="dxa"/>
              <w:bottom w:w="100" w:type="dxa"/>
              <w:right w:w="120" w:type="dxa"/>
            </w:tcMar>
          </w:tcPr>
          <w:p w14:paraId="404835BD" w14:textId="3832CDEF" w:rsidR="005776EE" w:rsidRDefault="001E0917" w:rsidP="00876BC1">
            <w:pPr>
              <w:pStyle w:val="Tablecontent"/>
            </w:pPr>
            <w:r>
              <w:t>A generic</w:t>
            </w:r>
            <w:r w:rsidR="005776EE">
              <w:t xml:space="preserve"> collection notice</w:t>
            </w:r>
            <w:r w:rsidR="006F4957">
              <w:t xml:space="preserve"> has been</w:t>
            </w:r>
            <w:r>
              <w:t xml:space="preserve"> published by the OAIC</w:t>
            </w:r>
            <w:r w:rsidR="009A401A">
              <w:t xml:space="preserve"> intended for parties collecting AML related information.</w:t>
            </w:r>
            <w:r w:rsidR="006F4957">
              <w:t xml:space="preserve"> A version adapted for law firm context is supplied.</w:t>
            </w:r>
          </w:p>
        </w:tc>
      </w:tr>
      <w:tr w:rsidR="005776EE" w14:paraId="6143386F" w14:textId="77777777" w:rsidTr="000E1801">
        <w:tc>
          <w:tcPr>
            <w:tcW w:w="800" w:type="dxa"/>
            <w:tcBorders>
              <w:top w:val="single" w:sz="4" w:space="0" w:color="auto"/>
              <w:bottom w:val="single" w:sz="4" w:space="0" w:color="auto"/>
            </w:tcBorders>
            <w:tcMar>
              <w:top w:w="100" w:type="dxa"/>
              <w:left w:w="120" w:type="dxa"/>
              <w:bottom w:w="100" w:type="dxa"/>
              <w:right w:w="120" w:type="dxa"/>
            </w:tcMar>
          </w:tcPr>
          <w:p w14:paraId="68EE137B" w14:textId="77777777" w:rsidR="005776EE" w:rsidRDefault="005776EE" w:rsidP="00876BC1">
            <w:pPr>
              <w:pStyle w:val="Tablecontent"/>
            </w:pPr>
            <w:r>
              <w:t>03</w:t>
            </w:r>
          </w:p>
        </w:tc>
        <w:tc>
          <w:tcPr>
            <w:tcW w:w="3200" w:type="dxa"/>
            <w:tcBorders>
              <w:top w:val="single" w:sz="4" w:space="0" w:color="auto"/>
              <w:bottom w:val="single" w:sz="4" w:space="0" w:color="auto"/>
            </w:tcBorders>
            <w:tcMar>
              <w:top w:w="100" w:type="dxa"/>
              <w:left w:w="120" w:type="dxa"/>
              <w:bottom w:w="100" w:type="dxa"/>
              <w:right w:w="120" w:type="dxa"/>
            </w:tcMar>
          </w:tcPr>
          <w:p w14:paraId="106E3991" w14:textId="77777777" w:rsidR="005776EE" w:rsidRDefault="005776EE" w:rsidP="00876BC1">
            <w:pPr>
              <w:pStyle w:val="Tablecontent"/>
            </w:pPr>
            <w:r>
              <w:t>Personal Information Inventory</w:t>
            </w:r>
          </w:p>
        </w:tc>
        <w:tc>
          <w:tcPr>
            <w:tcW w:w="5026" w:type="dxa"/>
            <w:tcBorders>
              <w:top w:val="single" w:sz="4" w:space="0" w:color="auto"/>
              <w:bottom w:val="single" w:sz="4" w:space="0" w:color="auto"/>
            </w:tcBorders>
            <w:tcMar>
              <w:top w:w="100" w:type="dxa"/>
              <w:left w:w="120" w:type="dxa"/>
              <w:bottom w:w="100" w:type="dxa"/>
              <w:right w:w="120" w:type="dxa"/>
            </w:tcMar>
          </w:tcPr>
          <w:p w14:paraId="6FA32805" w14:textId="681EE8F8" w:rsidR="00272B98" w:rsidRDefault="005776EE" w:rsidP="00876BC1">
            <w:pPr>
              <w:pStyle w:val="Tablecontent"/>
            </w:pPr>
            <w:r>
              <w:t>Register template for documenting categories of personal information held by the firm</w:t>
            </w:r>
            <w:r w:rsidR="008D1008">
              <w:t>. Filling this out is an important first step in determining what regulated information you might hold.</w:t>
            </w:r>
          </w:p>
        </w:tc>
      </w:tr>
      <w:tr w:rsidR="005776EE" w14:paraId="35FF30F9" w14:textId="77777777" w:rsidTr="000E1801">
        <w:tc>
          <w:tcPr>
            <w:tcW w:w="800" w:type="dxa"/>
            <w:tcBorders>
              <w:top w:val="single" w:sz="4" w:space="0" w:color="auto"/>
              <w:bottom w:val="single" w:sz="4" w:space="0" w:color="auto"/>
            </w:tcBorders>
            <w:tcMar>
              <w:top w:w="100" w:type="dxa"/>
              <w:left w:w="120" w:type="dxa"/>
              <w:bottom w:w="100" w:type="dxa"/>
              <w:right w:w="120" w:type="dxa"/>
            </w:tcMar>
          </w:tcPr>
          <w:p w14:paraId="6AD8D476" w14:textId="77777777" w:rsidR="005776EE" w:rsidRDefault="005776EE" w:rsidP="00876BC1">
            <w:pPr>
              <w:pStyle w:val="Tablecontent"/>
            </w:pPr>
            <w:r>
              <w:t>04</w:t>
            </w:r>
          </w:p>
        </w:tc>
        <w:tc>
          <w:tcPr>
            <w:tcW w:w="3200" w:type="dxa"/>
            <w:tcBorders>
              <w:top w:val="single" w:sz="4" w:space="0" w:color="auto"/>
              <w:bottom w:val="single" w:sz="4" w:space="0" w:color="auto"/>
            </w:tcBorders>
            <w:tcMar>
              <w:top w:w="100" w:type="dxa"/>
              <w:left w:w="120" w:type="dxa"/>
              <w:bottom w:w="100" w:type="dxa"/>
              <w:right w:w="120" w:type="dxa"/>
            </w:tcMar>
          </w:tcPr>
          <w:p w14:paraId="1B5BA06A" w14:textId="77777777" w:rsidR="005776EE" w:rsidRDefault="005776EE" w:rsidP="00876BC1">
            <w:pPr>
              <w:pStyle w:val="Tablecontent"/>
            </w:pPr>
            <w:r>
              <w:t>Data Retention Schedule</w:t>
            </w:r>
          </w:p>
        </w:tc>
        <w:tc>
          <w:tcPr>
            <w:tcW w:w="5026" w:type="dxa"/>
            <w:tcBorders>
              <w:top w:val="single" w:sz="4" w:space="0" w:color="auto"/>
              <w:bottom w:val="single" w:sz="4" w:space="0" w:color="auto"/>
            </w:tcBorders>
            <w:tcMar>
              <w:top w:w="100" w:type="dxa"/>
              <w:left w:w="120" w:type="dxa"/>
              <w:bottom w:w="100" w:type="dxa"/>
              <w:right w:w="120" w:type="dxa"/>
            </w:tcMar>
          </w:tcPr>
          <w:p w14:paraId="2525CB91" w14:textId="200336B4" w:rsidR="005776EE" w:rsidRDefault="006645F9" w:rsidP="00876BC1">
            <w:pPr>
              <w:pStyle w:val="Tablecontent"/>
            </w:pPr>
            <w:r>
              <w:t>Your firm’s plan for document retention, having regard to requirements of</w:t>
            </w:r>
            <w:r w:rsidR="005776EE">
              <w:t xml:space="preserve"> the Privacy Act, Legal Profession Act 2007 (Qld), </w:t>
            </w:r>
            <w:r w:rsidR="008D1008">
              <w:t>QLS Document Retention Guidance</w:t>
            </w:r>
            <w:r>
              <w:t>.</w:t>
            </w:r>
          </w:p>
        </w:tc>
      </w:tr>
      <w:tr w:rsidR="005776EE" w14:paraId="133DC45C" w14:textId="77777777" w:rsidTr="000E1801">
        <w:tc>
          <w:tcPr>
            <w:tcW w:w="800" w:type="dxa"/>
            <w:tcBorders>
              <w:top w:val="single" w:sz="4" w:space="0" w:color="auto"/>
              <w:bottom w:val="single" w:sz="4" w:space="0" w:color="auto"/>
            </w:tcBorders>
            <w:tcMar>
              <w:top w:w="100" w:type="dxa"/>
              <w:left w:w="120" w:type="dxa"/>
              <w:bottom w:w="100" w:type="dxa"/>
              <w:right w:w="120" w:type="dxa"/>
            </w:tcMar>
          </w:tcPr>
          <w:p w14:paraId="1A069C3F" w14:textId="77777777" w:rsidR="005776EE" w:rsidRDefault="005776EE" w:rsidP="00876BC1">
            <w:pPr>
              <w:pStyle w:val="Tablecontent"/>
            </w:pPr>
            <w:r>
              <w:t>05</w:t>
            </w:r>
          </w:p>
        </w:tc>
        <w:tc>
          <w:tcPr>
            <w:tcW w:w="3200" w:type="dxa"/>
            <w:tcBorders>
              <w:top w:val="single" w:sz="4" w:space="0" w:color="auto"/>
              <w:bottom w:val="single" w:sz="4" w:space="0" w:color="auto"/>
            </w:tcBorders>
            <w:tcMar>
              <w:top w:w="100" w:type="dxa"/>
              <w:left w:w="120" w:type="dxa"/>
              <w:bottom w:w="100" w:type="dxa"/>
              <w:right w:w="120" w:type="dxa"/>
            </w:tcMar>
          </w:tcPr>
          <w:p w14:paraId="0AA4E3EC" w14:textId="77777777" w:rsidR="005776EE" w:rsidRDefault="005776EE" w:rsidP="00876BC1">
            <w:pPr>
              <w:pStyle w:val="Tablecontent"/>
            </w:pPr>
            <w:r>
              <w:t>Data Breach Response Plan</w:t>
            </w:r>
          </w:p>
        </w:tc>
        <w:tc>
          <w:tcPr>
            <w:tcW w:w="5026" w:type="dxa"/>
            <w:tcBorders>
              <w:top w:val="single" w:sz="4" w:space="0" w:color="auto"/>
              <w:bottom w:val="single" w:sz="4" w:space="0" w:color="auto"/>
            </w:tcBorders>
            <w:tcMar>
              <w:top w:w="100" w:type="dxa"/>
              <w:left w:w="120" w:type="dxa"/>
              <w:bottom w:w="100" w:type="dxa"/>
              <w:right w:w="120" w:type="dxa"/>
            </w:tcMar>
          </w:tcPr>
          <w:p w14:paraId="72C88FB3" w14:textId="77777777" w:rsidR="005776EE" w:rsidRDefault="005776EE" w:rsidP="00876BC1">
            <w:pPr>
              <w:pStyle w:val="Tablecontent"/>
            </w:pPr>
            <w:r>
              <w:t>Four-step procedure for responding to data breaches under the Notifiable Data Breaches scheme, with assessment form and emergency contacts</w:t>
            </w:r>
          </w:p>
        </w:tc>
      </w:tr>
      <w:tr w:rsidR="005776EE" w14:paraId="7E487A0B" w14:textId="77777777" w:rsidTr="000E1801">
        <w:tc>
          <w:tcPr>
            <w:tcW w:w="800" w:type="dxa"/>
            <w:tcBorders>
              <w:top w:val="single" w:sz="4" w:space="0" w:color="auto"/>
              <w:bottom w:val="single" w:sz="4" w:space="0" w:color="auto"/>
            </w:tcBorders>
            <w:tcMar>
              <w:top w:w="100" w:type="dxa"/>
              <w:left w:w="120" w:type="dxa"/>
              <w:bottom w:w="100" w:type="dxa"/>
              <w:right w:w="120" w:type="dxa"/>
            </w:tcMar>
          </w:tcPr>
          <w:p w14:paraId="43A2BA7D" w14:textId="77777777" w:rsidR="005776EE" w:rsidRDefault="005776EE" w:rsidP="00876BC1">
            <w:pPr>
              <w:pStyle w:val="Tablecontent"/>
            </w:pPr>
            <w:r>
              <w:t>06</w:t>
            </w:r>
          </w:p>
        </w:tc>
        <w:tc>
          <w:tcPr>
            <w:tcW w:w="3200" w:type="dxa"/>
            <w:tcBorders>
              <w:top w:val="single" w:sz="4" w:space="0" w:color="auto"/>
              <w:bottom w:val="single" w:sz="4" w:space="0" w:color="auto"/>
            </w:tcBorders>
            <w:tcMar>
              <w:top w:w="100" w:type="dxa"/>
              <w:left w:w="120" w:type="dxa"/>
              <w:bottom w:w="100" w:type="dxa"/>
              <w:right w:w="120" w:type="dxa"/>
            </w:tcMar>
          </w:tcPr>
          <w:p w14:paraId="54D928AC" w14:textId="77777777" w:rsidR="005776EE" w:rsidRDefault="005776EE" w:rsidP="00876BC1">
            <w:pPr>
              <w:pStyle w:val="Tablecontent"/>
            </w:pPr>
            <w:r>
              <w:t>Privacy Impact Assessment</w:t>
            </w:r>
          </w:p>
        </w:tc>
        <w:tc>
          <w:tcPr>
            <w:tcW w:w="5026" w:type="dxa"/>
            <w:tcBorders>
              <w:top w:val="single" w:sz="4" w:space="0" w:color="auto"/>
              <w:bottom w:val="single" w:sz="4" w:space="0" w:color="auto"/>
            </w:tcBorders>
            <w:tcMar>
              <w:top w:w="100" w:type="dxa"/>
              <w:left w:w="120" w:type="dxa"/>
              <w:bottom w:w="100" w:type="dxa"/>
              <w:right w:w="120" w:type="dxa"/>
            </w:tcMar>
          </w:tcPr>
          <w:p w14:paraId="29FA3177" w14:textId="13951EB3" w:rsidR="005776EE" w:rsidRDefault="005776EE" w:rsidP="00876BC1">
            <w:pPr>
              <w:pStyle w:val="Tablecontent"/>
            </w:pPr>
            <w:r>
              <w:t>Two-part PIA framework: threshold assessment tool plus comprehensive PIA template</w:t>
            </w:r>
            <w:r w:rsidR="00C118B7">
              <w:t>.</w:t>
            </w:r>
          </w:p>
        </w:tc>
      </w:tr>
      <w:tr w:rsidR="005776EE" w14:paraId="59FC8A52" w14:textId="77777777" w:rsidTr="000E1801">
        <w:tc>
          <w:tcPr>
            <w:tcW w:w="800" w:type="dxa"/>
            <w:tcBorders>
              <w:top w:val="single" w:sz="4" w:space="0" w:color="auto"/>
              <w:bottom w:val="single" w:sz="4" w:space="0" w:color="auto"/>
            </w:tcBorders>
            <w:tcMar>
              <w:top w:w="100" w:type="dxa"/>
              <w:left w:w="120" w:type="dxa"/>
              <w:bottom w:w="100" w:type="dxa"/>
              <w:right w:w="120" w:type="dxa"/>
            </w:tcMar>
          </w:tcPr>
          <w:p w14:paraId="3D7EF3B4" w14:textId="77777777" w:rsidR="005776EE" w:rsidRDefault="005776EE" w:rsidP="00876BC1">
            <w:pPr>
              <w:pStyle w:val="Tablecontent"/>
            </w:pPr>
            <w:r>
              <w:t>07</w:t>
            </w:r>
          </w:p>
        </w:tc>
        <w:tc>
          <w:tcPr>
            <w:tcW w:w="3200" w:type="dxa"/>
            <w:tcBorders>
              <w:top w:val="single" w:sz="4" w:space="0" w:color="auto"/>
              <w:bottom w:val="single" w:sz="4" w:space="0" w:color="auto"/>
            </w:tcBorders>
            <w:tcMar>
              <w:top w:w="100" w:type="dxa"/>
              <w:left w:w="120" w:type="dxa"/>
              <w:bottom w:w="100" w:type="dxa"/>
              <w:right w:w="120" w:type="dxa"/>
            </w:tcMar>
          </w:tcPr>
          <w:p w14:paraId="4A581609" w14:textId="77777777" w:rsidR="005776EE" w:rsidRDefault="005776EE" w:rsidP="00876BC1">
            <w:pPr>
              <w:pStyle w:val="Tablecontent"/>
            </w:pPr>
            <w:r>
              <w:t>Staff Training Framework</w:t>
            </w:r>
          </w:p>
        </w:tc>
        <w:tc>
          <w:tcPr>
            <w:tcW w:w="5026" w:type="dxa"/>
            <w:tcBorders>
              <w:top w:val="single" w:sz="4" w:space="0" w:color="auto"/>
              <w:bottom w:val="single" w:sz="4" w:space="0" w:color="auto"/>
            </w:tcBorders>
            <w:tcMar>
              <w:top w:w="100" w:type="dxa"/>
              <w:left w:w="120" w:type="dxa"/>
              <w:bottom w:w="100" w:type="dxa"/>
              <w:right w:w="120" w:type="dxa"/>
            </w:tcMar>
          </w:tcPr>
          <w:p w14:paraId="30522259" w14:textId="0B6FD2BA" w:rsidR="005776EE" w:rsidRDefault="002B4E3B" w:rsidP="00876BC1">
            <w:pPr>
              <w:pStyle w:val="Tablecontent"/>
            </w:pPr>
            <w:r>
              <w:t>Multi</w:t>
            </w:r>
            <w:r w:rsidR="005776EE">
              <w:t>-module training program with requirements matrix and training record template</w:t>
            </w:r>
          </w:p>
        </w:tc>
      </w:tr>
    </w:tbl>
    <w:p w14:paraId="368397A5" w14:textId="77777777" w:rsidR="00A30EAA" w:rsidRDefault="00A30EAA" w:rsidP="00A30EAA">
      <w:pPr>
        <w:pStyle w:val="Body"/>
      </w:pPr>
    </w:p>
    <w:p w14:paraId="3E805934" w14:textId="4A86F576" w:rsidR="005776EE" w:rsidRDefault="005776EE" w:rsidP="00A30EAA">
      <w:pPr>
        <w:pStyle w:val="Body"/>
      </w:pPr>
      <w:r>
        <w:t xml:space="preserve">Each toolkit document contains bracketed placeholders (such as [Firm Name] or [Privacy Officer contact details]) that must be replaced with firm-specific information before the document is used. Detailed guidance on customising each document is provided </w:t>
      </w:r>
      <w:r w:rsidR="00E85C9A">
        <w:t>chapters dedicated to each primary document</w:t>
      </w:r>
      <w:r>
        <w:t>.</w:t>
      </w:r>
    </w:p>
    <w:p w14:paraId="7D576980" w14:textId="07AE0011" w:rsidR="008D1008" w:rsidRDefault="005776EE" w:rsidP="00A30EAA">
      <w:pPr>
        <w:pStyle w:val="Body"/>
      </w:pPr>
      <w:r>
        <w:t>The toolkit documents have been designed to work together as an integrated system</w:t>
      </w:r>
      <w:r w:rsidR="008D1008">
        <w:t>, but</w:t>
      </w:r>
      <w:r w:rsidR="00F25D2D">
        <w:t xml:space="preserve"> each</w:t>
      </w:r>
      <w:r w:rsidR="008D1008">
        <w:t xml:space="preserve"> should only be regarded as a starting point</w:t>
      </w:r>
      <w:r>
        <w:t xml:space="preserve">. </w:t>
      </w:r>
      <w:r w:rsidR="00F25D2D">
        <w:t xml:space="preserve">Modification in addition to </w:t>
      </w:r>
      <w:r w:rsidR="00057FBF">
        <w:t>adding firm details will be required, especially for the Privacy Policy.</w:t>
      </w:r>
    </w:p>
    <w:p w14:paraId="4F736682" w14:textId="77777777" w:rsidR="00855EB0" w:rsidRDefault="00855EB0">
      <w:pPr>
        <w:spacing w:after="0"/>
        <w:rPr>
          <w:b/>
          <w:color w:val="0F2D52"/>
          <w:sz w:val="28"/>
        </w:rPr>
      </w:pPr>
      <w:bookmarkStart w:id="20" w:name="_Toc220069830"/>
      <w:bookmarkStart w:id="21" w:name="_Ref220073152"/>
      <w:bookmarkStart w:id="22" w:name="_Toc220655050"/>
      <w:r>
        <w:br w:type="page"/>
      </w:r>
    </w:p>
    <w:p w14:paraId="3BDA7F5C" w14:textId="5F6C0E74" w:rsidR="005776EE" w:rsidRDefault="005776EE" w:rsidP="00A30EAA">
      <w:pPr>
        <w:pStyle w:val="NumberedHeading2"/>
      </w:pPr>
      <w:bookmarkStart w:id="23" w:name="_Toc231895135"/>
      <w:r>
        <w:lastRenderedPageBreak/>
        <w:t>OAIC Guidance Informing This Manual</w:t>
      </w:r>
      <w:bookmarkEnd w:id="20"/>
      <w:bookmarkEnd w:id="21"/>
      <w:bookmarkEnd w:id="22"/>
      <w:bookmarkEnd w:id="23"/>
    </w:p>
    <w:p w14:paraId="26E94DAA" w14:textId="0ABE567C" w:rsidR="005776EE" w:rsidRDefault="005776EE" w:rsidP="00A30EAA">
      <w:pPr>
        <w:pStyle w:val="Body"/>
      </w:pPr>
      <w:r>
        <w:t xml:space="preserve">This manual draws on guidance published by the Office of the </w:t>
      </w:r>
      <w:r w:rsidRPr="0041736A">
        <w:rPr>
          <w:i/>
          <w:iCs/>
        </w:rPr>
        <w:t>Australian Information Commissioner</w:t>
      </w:r>
      <w:r>
        <w:t xml:space="preserve"> (OAIC), which is the regulator responsible for the Privacy Act. The principal OAIC publications informing this manual and toolkit are</w:t>
      </w:r>
      <w:r w:rsidR="00666A11">
        <w:t xml:space="preserve"> listed </w:t>
      </w:r>
      <w:r>
        <w:t>in Chapter 19.</w:t>
      </w:r>
      <w:r w:rsidR="00F4106F">
        <w:t xml:space="preserve"> Where ambiguity exists the OAIC </w:t>
      </w:r>
      <w:r w:rsidR="00157219">
        <w:t>publications should be preferred.</w:t>
      </w:r>
    </w:p>
    <w:p w14:paraId="5F5528B4" w14:textId="49DA8D7A" w:rsidR="005776EE" w:rsidRDefault="007C3EA6" w:rsidP="00A30EAA">
      <w:pPr>
        <w:pStyle w:val="NumberedHeading2"/>
      </w:pPr>
      <w:bookmarkStart w:id="24" w:name="_Toc220655051"/>
      <w:bookmarkStart w:id="25" w:name="_Toc231895136"/>
      <w:r>
        <w:t>Currency of information.</w:t>
      </w:r>
      <w:bookmarkEnd w:id="24"/>
      <w:bookmarkEnd w:id="25"/>
    </w:p>
    <w:p w14:paraId="4B50D8E2" w14:textId="755F5679" w:rsidR="005776EE" w:rsidRDefault="005776EE" w:rsidP="00A30EAA">
      <w:pPr>
        <w:pStyle w:val="Body"/>
      </w:pPr>
      <w:r>
        <w:t xml:space="preserve">Privacy law and regulatory guidance evolve over time. </w:t>
      </w:r>
      <w:r w:rsidR="00157219">
        <w:t>The last revision of this compendium was April 2026.</w:t>
      </w:r>
    </w:p>
    <w:p w14:paraId="77F3FB57" w14:textId="77777777" w:rsidR="00EB4FD6" w:rsidRDefault="00EB4FD6">
      <w:pPr>
        <w:spacing w:after="0"/>
        <w:rPr>
          <w:b/>
          <w:bCs/>
          <w:color w:val="0F2D52"/>
          <w:kern w:val="32"/>
          <w:sz w:val="32"/>
          <w:szCs w:val="32"/>
        </w:rPr>
      </w:pPr>
      <w:bookmarkStart w:id="26" w:name="_Toc220069832"/>
      <w:bookmarkStart w:id="27" w:name="_Toc220655052"/>
      <w:r>
        <w:br w:type="page"/>
      </w:r>
    </w:p>
    <w:p w14:paraId="474FFF47" w14:textId="76777C8D" w:rsidR="00571375" w:rsidRPr="0005236E" w:rsidRDefault="00DF5F46" w:rsidP="0005236E">
      <w:pPr>
        <w:pStyle w:val="NumberedHeading1"/>
      </w:pPr>
      <w:bookmarkStart w:id="28" w:name="_Toc231895137"/>
      <w:bookmarkEnd w:id="26"/>
      <w:r>
        <w:lastRenderedPageBreak/>
        <w:t>Privacy act changes in 2026</w:t>
      </w:r>
      <w:bookmarkStart w:id="29" w:name="_Toc220069833"/>
      <w:bookmarkStart w:id="30" w:name="_Ref220075640"/>
      <w:bookmarkStart w:id="31" w:name="_Toc220655053"/>
      <w:bookmarkEnd w:id="27"/>
      <w:bookmarkEnd w:id="28"/>
    </w:p>
    <w:p w14:paraId="329469C9" w14:textId="45DCEBD4" w:rsidR="005776EE" w:rsidRDefault="005776EE" w:rsidP="00A30EAA">
      <w:pPr>
        <w:pStyle w:val="NumberedHeading2"/>
      </w:pPr>
      <w:bookmarkStart w:id="32" w:name="_Toc231895138"/>
      <w:r w:rsidRPr="00855EB0">
        <w:t>The</w:t>
      </w:r>
      <w:r>
        <w:t xml:space="preserve"> AML/CTF </w:t>
      </w:r>
      <w:bookmarkEnd w:id="29"/>
      <w:r w:rsidR="00616217">
        <w:t>&amp; Privacy Act interaction.</w:t>
      </w:r>
      <w:bookmarkEnd w:id="30"/>
      <w:bookmarkEnd w:id="31"/>
      <w:bookmarkEnd w:id="32"/>
    </w:p>
    <w:p w14:paraId="02AB1672" w14:textId="007B8E3F" w:rsidR="005776EE" w:rsidRDefault="005776EE" w:rsidP="00A30EAA">
      <w:pPr>
        <w:pStyle w:val="Body"/>
      </w:pPr>
      <w:r>
        <w:t xml:space="preserve">For most small law firms in Queensland, privacy compliance has not previously been a regulatory concern. The </w:t>
      </w:r>
      <w:r>
        <w:rPr>
          <w:i/>
          <w:iCs/>
        </w:rPr>
        <w:t>Privacy Act 1988</w:t>
      </w:r>
      <w:r>
        <w:t xml:space="preserve"> (</w:t>
      </w:r>
      <w:proofErr w:type="spellStart"/>
      <w:r>
        <w:t>Cth</w:t>
      </w:r>
      <w:proofErr w:type="spellEnd"/>
      <w:r>
        <w:t>) generally exempts 'small businesses' — defined as businesses with annual turnover of $3 million or less — from the requirement to comply with the Australian Privacy Principles.</w:t>
      </w:r>
      <w:r>
        <w:rPr>
          <w:rStyle w:val="FootnoteReference"/>
        </w:rPr>
        <w:footnoteReference w:id="7"/>
      </w:r>
      <w:r>
        <w:t xml:space="preserve"> Many law practices have operated below this threshold and have not been required to implement formal privacy compliance frameworks.</w:t>
      </w:r>
      <w:r w:rsidR="003F0B6B">
        <w:t xml:space="preserve"> </w:t>
      </w:r>
    </w:p>
    <w:p w14:paraId="7888BF65" w14:textId="0727274A" w:rsidR="005776EE" w:rsidRDefault="005776EE" w:rsidP="00A30EAA">
      <w:pPr>
        <w:pStyle w:val="Body"/>
      </w:pPr>
      <w:r>
        <w:t>This position changes fundamentally from 1 July 2026. The AML/CTF Tranche 2 reforms extend anti-money laundering and counter-terrorism financing obligations to lawyers who provide 'designated services'.</w:t>
      </w:r>
      <w:r>
        <w:rPr>
          <w:rStyle w:val="FootnoteReference"/>
        </w:rPr>
        <w:footnoteReference w:id="8"/>
      </w:r>
      <w:r>
        <w:t xml:space="preserve"> </w:t>
      </w:r>
      <w:r w:rsidR="00AE2C58">
        <w:t>W</w:t>
      </w:r>
      <w:r>
        <w:t xml:space="preserve">hen a business becomes a 'reporting entity' under the AML/CTF Act, it also becomes subject to the Privacy Act </w:t>
      </w:r>
      <w:r w:rsidRPr="00892695">
        <w:t xml:space="preserve">in respect of </w:t>
      </w:r>
      <w:r w:rsidR="00892695" w:rsidRPr="00892695">
        <w:t>data collected</w:t>
      </w:r>
      <w:r w:rsidRPr="00892695">
        <w:t xml:space="preserve"> for AML/CTF purposes — regardless of its annual turnover.</w:t>
      </w:r>
      <w:r>
        <w:rPr>
          <w:rStyle w:val="FootnoteReference"/>
        </w:rPr>
        <w:footnoteReference w:id="9"/>
      </w:r>
    </w:p>
    <w:p w14:paraId="45AD65BE" w14:textId="0D6A39C4" w:rsidR="00A95DA1" w:rsidRDefault="005776EE" w:rsidP="00A30EAA">
      <w:pPr>
        <w:pStyle w:val="Body"/>
      </w:pPr>
      <w:r>
        <w:t>This means that a law firm with annual turnover of, say, $</w:t>
      </w:r>
      <w:r w:rsidR="00440947">
        <w:t>8</w:t>
      </w:r>
      <w:r>
        <w:t xml:space="preserve">00,000 that </w:t>
      </w:r>
      <w:r w:rsidR="004323C3">
        <w:t>does conveyancing</w:t>
      </w:r>
      <w:r>
        <w:t xml:space="preserve"> (a designated service) will need to comply with the APPs when handling personal information collected </w:t>
      </w:r>
      <w:r w:rsidR="00E20307">
        <w:t>“</w:t>
      </w:r>
      <w:r w:rsidRPr="00E20307">
        <w:rPr>
          <w:i/>
          <w:iCs/>
        </w:rPr>
        <w:t>for</w:t>
      </w:r>
      <w:r>
        <w:t xml:space="preserve"> </w:t>
      </w:r>
      <w:r w:rsidR="008439EF" w:rsidRPr="008439EF">
        <w:rPr>
          <w:i/>
          <w:iCs/>
        </w:rPr>
        <w:t>or in connection with</w:t>
      </w:r>
      <w:r w:rsidR="00E20307">
        <w:rPr>
          <w:i/>
          <w:iCs/>
        </w:rPr>
        <w:t>”</w:t>
      </w:r>
      <w:r w:rsidR="008439EF">
        <w:t xml:space="preserve"> </w:t>
      </w:r>
      <w:r>
        <w:t xml:space="preserve">AML/CTF purposes — such as client identification documents, beneficial ownership information, and </w:t>
      </w:r>
      <w:r w:rsidR="00FA22EA">
        <w:t xml:space="preserve">AML </w:t>
      </w:r>
      <w:r w:rsidR="00154952">
        <w:t>risk determination records</w:t>
      </w:r>
      <w:r>
        <w:t>.</w:t>
      </w:r>
      <w:r>
        <w:rPr>
          <w:rStyle w:val="FootnoteReference"/>
        </w:rPr>
        <w:footnoteReference w:id="10"/>
      </w:r>
      <w:r w:rsidR="00B10C23">
        <w:t xml:space="preserve"> </w:t>
      </w:r>
    </w:p>
    <w:p w14:paraId="346041EC" w14:textId="2D135E6A" w:rsidR="008439EF" w:rsidRDefault="00B10C23" w:rsidP="00A30EAA">
      <w:pPr>
        <w:pStyle w:val="Body"/>
      </w:pPr>
      <w:r>
        <w:t xml:space="preserve">The Privacy Act may not apply to other records held by the firm </w:t>
      </w:r>
      <w:r w:rsidR="003132BE">
        <w:t>relating to services that are not “designated services”</w:t>
      </w:r>
      <w:r w:rsidR="00154952">
        <w:t xml:space="preserve"> or which were not collected for AML purposes.</w:t>
      </w:r>
    </w:p>
    <w:p w14:paraId="63CBA563" w14:textId="23A2E4F4" w:rsidR="004B0E5E" w:rsidRDefault="004B0E5E" w:rsidP="00A30EAA">
      <w:pPr>
        <w:pStyle w:val="Body"/>
      </w:pPr>
      <w:r>
        <w:t>When considering the content of this manual it is critically important to keep your firm’s turnover in mind. If under $3M only some limited aspects of your data holdings and activities are affected. If over $3M, all of your data is potentially in scope.</w:t>
      </w:r>
    </w:p>
    <w:p w14:paraId="3798C443" w14:textId="77777777" w:rsidR="006A5385" w:rsidRDefault="003132BE" w:rsidP="00A30EAA">
      <w:pPr>
        <w:pStyle w:val="Body"/>
      </w:pPr>
      <w:r>
        <w:t xml:space="preserve">For many firms the inconvenience of </w:t>
      </w:r>
      <w:r w:rsidR="00B42137">
        <w:t xml:space="preserve">operating two independent data collection and management regimes </w:t>
      </w:r>
      <w:r w:rsidR="00B42137" w:rsidRPr="0005443F">
        <w:rPr>
          <w:i/>
          <w:iCs/>
        </w:rPr>
        <w:t>may</w:t>
      </w:r>
      <w:r w:rsidR="00B42137">
        <w:t xml:space="preserve"> mean at least some elements of the Privacy </w:t>
      </w:r>
      <w:r w:rsidR="00C12BDE">
        <w:t>c</w:t>
      </w:r>
      <w:r w:rsidR="00B42137">
        <w:t xml:space="preserve">ompliant systems </w:t>
      </w:r>
      <w:r w:rsidR="00233A13">
        <w:t>should be applied across the board. (Information security measures, for example).</w:t>
      </w:r>
      <w:r w:rsidR="0005443F">
        <w:t xml:space="preserve"> </w:t>
      </w:r>
    </w:p>
    <w:p w14:paraId="7BD89415" w14:textId="2DF1E6CF" w:rsidR="003132BE" w:rsidRPr="00B10C23" w:rsidRDefault="0005443F" w:rsidP="00A30EAA">
      <w:pPr>
        <w:pStyle w:val="Body"/>
      </w:pPr>
      <w:r>
        <w:t xml:space="preserve">However, opting into </w:t>
      </w:r>
      <w:r w:rsidR="00D0788D">
        <w:t xml:space="preserve">additional </w:t>
      </w:r>
      <w:r w:rsidR="008E0F33">
        <w:t>privacy regulatory</w:t>
      </w:r>
      <w:r w:rsidR="00A87F8E">
        <w:t xml:space="preserve"> obligation</w:t>
      </w:r>
      <w:r w:rsidR="008E0F33">
        <w:t xml:space="preserve"> </w:t>
      </w:r>
      <w:r w:rsidR="006A5385">
        <w:t>should be carefully considered before it is done</w:t>
      </w:r>
      <w:r w:rsidR="004B6153">
        <w:t xml:space="preserve">. This could </w:t>
      </w:r>
      <w:r w:rsidR="00AC1B30">
        <w:t>be either deliberate,</w:t>
      </w:r>
      <w:r w:rsidR="004B6153">
        <w:t xml:space="preserve"> using the formal </w:t>
      </w:r>
      <w:r w:rsidR="00AC1B30">
        <w:t xml:space="preserve">opt-in </w:t>
      </w:r>
      <w:r w:rsidR="004B6153">
        <w:t>process set out in the act</w:t>
      </w:r>
      <w:r w:rsidR="00AC1B30">
        <w:t>,</w:t>
      </w:r>
      <w:r w:rsidR="004B6153">
        <w:rPr>
          <w:rStyle w:val="FootnoteReference"/>
        </w:rPr>
        <w:footnoteReference w:id="11"/>
      </w:r>
      <w:r w:rsidR="004B6153">
        <w:t xml:space="preserve"> or accidental </w:t>
      </w:r>
      <w:r w:rsidR="00D0788D">
        <w:t xml:space="preserve">by </w:t>
      </w:r>
      <w:r w:rsidR="0011071A">
        <w:t xml:space="preserve">publishing statements or policies </w:t>
      </w:r>
      <w:r w:rsidR="00225134">
        <w:t>which do not clearly articulate that they only apply to a limited subset of data held.</w:t>
      </w:r>
      <w:r w:rsidR="00AC1B30">
        <w:t xml:space="preserve"> </w:t>
      </w:r>
      <w:r w:rsidR="00201F88">
        <w:t xml:space="preserve">If, for example, your firm adopts a general Privacy Policy </w:t>
      </w:r>
      <w:r w:rsidR="00136441">
        <w:t>without clearly stating that it only applies to AML information it may be held to any broader promises made.</w:t>
      </w:r>
    </w:p>
    <w:p w14:paraId="27F48B87" w14:textId="77777777" w:rsidR="001F3BAF" w:rsidRDefault="001F3BAF">
      <w:pPr>
        <w:spacing w:after="0"/>
        <w:rPr>
          <w:b/>
          <w:bCs/>
          <w:iCs/>
          <w:color w:val="0F2D52"/>
          <w:sz w:val="24"/>
          <w:szCs w:val="28"/>
        </w:rPr>
      </w:pPr>
      <w:bookmarkStart w:id="33" w:name="_Toc220069834"/>
      <w:bookmarkStart w:id="34" w:name="_Toc220655054"/>
      <w:r>
        <w:br w:type="page"/>
      </w:r>
    </w:p>
    <w:p w14:paraId="3171CCFC" w14:textId="5A3C06D9" w:rsidR="005776EE" w:rsidRDefault="005776EE" w:rsidP="00A30EAA">
      <w:pPr>
        <w:pStyle w:val="NumberedHeading2"/>
      </w:pPr>
      <w:bookmarkStart w:id="35" w:name="_Toc231895139"/>
      <w:r>
        <w:lastRenderedPageBreak/>
        <w:t>Key Dates and Timeline</w:t>
      </w:r>
      <w:bookmarkEnd w:id="33"/>
      <w:bookmarkEnd w:id="34"/>
      <w:bookmarkEnd w:id="35"/>
    </w:p>
    <w:p w14:paraId="75D1A59A" w14:textId="39014286" w:rsidR="005776EE" w:rsidRDefault="005776EE" w:rsidP="00A30EAA">
      <w:pPr>
        <w:pStyle w:val="Body"/>
      </w:pPr>
      <w:r>
        <w:t>The following timeline sets out the key dates for law firms preparing for AML/CTF and associated privacy compliance:</w:t>
      </w:r>
      <w:r w:rsidR="001231E0">
        <w:rPr>
          <w:rStyle w:val="FootnoteReference"/>
        </w:rPr>
        <w:footnoteReference w:id="12"/>
      </w:r>
    </w:p>
    <w:tbl>
      <w:tblPr>
        <w:tblW w:w="5000" w:type="pct"/>
        <w:tblInd w:w="-4" w:type="dxa"/>
        <w:shd w:val="clear" w:color="auto" w:fill="0F2D52"/>
        <w:tblCellMar>
          <w:left w:w="10" w:type="dxa"/>
          <w:right w:w="10" w:type="dxa"/>
        </w:tblCellMar>
        <w:tblLook w:val="04A0" w:firstRow="1" w:lastRow="0" w:firstColumn="1" w:lastColumn="0" w:noHBand="0" w:noVBand="1"/>
      </w:tblPr>
      <w:tblGrid>
        <w:gridCol w:w="2400"/>
        <w:gridCol w:w="6626"/>
      </w:tblGrid>
      <w:tr w:rsidR="005776EE" w14:paraId="06073CC0" w14:textId="77777777" w:rsidTr="000E1801">
        <w:tc>
          <w:tcPr>
            <w:tcW w:w="2400" w:type="dxa"/>
            <w:shd w:val="clear" w:color="auto" w:fill="0F2D52"/>
            <w:tcMar>
              <w:top w:w="100" w:type="dxa"/>
              <w:left w:w="120" w:type="dxa"/>
              <w:bottom w:w="100" w:type="dxa"/>
              <w:right w:w="120" w:type="dxa"/>
            </w:tcMar>
          </w:tcPr>
          <w:p w14:paraId="06CAFEC8" w14:textId="77777777" w:rsidR="005776EE" w:rsidRPr="00600784" w:rsidRDefault="005776EE" w:rsidP="00876BC1">
            <w:pPr>
              <w:pStyle w:val="TableHeading"/>
            </w:pPr>
            <w:r w:rsidRPr="00600784">
              <w:t>Date</w:t>
            </w:r>
          </w:p>
        </w:tc>
        <w:tc>
          <w:tcPr>
            <w:tcW w:w="6626" w:type="dxa"/>
            <w:shd w:val="clear" w:color="auto" w:fill="0F2D52"/>
            <w:tcMar>
              <w:top w:w="100" w:type="dxa"/>
              <w:left w:w="120" w:type="dxa"/>
              <w:bottom w:w="100" w:type="dxa"/>
              <w:right w:w="120" w:type="dxa"/>
            </w:tcMar>
          </w:tcPr>
          <w:p w14:paraId="349CFF9F" w14:textId="77777777" w:rsidR="005776EE" w:rsidRPr="00600784" w:rsidRDefault="005776EE" w:rsidP="00876BC1">
            <w:pPr>
              <w:pStyle w:val="TableHeading"/>
            </w:pPr>
            <w:r w:rsidRPr="00600784">
              <w:t>Milestone</w:t>
            </w:r>
          </w:p>
        </w:tc>
      </w:tr>
      <w:tr w:rsidR="005776EE" w14:paraId="683918DF" w14:textId="77777777" w:rsidTr="000E1801">
        <w:tc>
          <w:tcPr>
            <w:tcW w:w="2400" w:type="dxa"/>
            <w:tcBorders>
              <w:bottom w:val="single" w:sz="4" w:space="0" w:color="auto"/>
            </w:tcBorders>
            <w:tcMar>
              <w:top w:w="100" w:type="dxa"/>
              <w:left w:w="120" w:type="dxa"/>
              <w:bottom w:w="100" w:type="dxa"/>
              <w:right w:w="120" w:type="dxa"/>
            </w:tcMar>
          </w:tcPr>
          <w:p w14:paraId="5EB237E3" w14:textId="77777777" w:rsidR="005776EE" w:rsidRDefault="005776EE" w:rsidP="00876BC1">
            <w:pPr>
              <w:pStyle w:val="Tablecontent"/>
            </w:pPr>
            <w:r>
              <w:t>10 December 2024</w:t>
            </w:r>
          </w:p>
        </w:tc>
        <w:tc>
          <w:tcPr>
            <w:tcW w:w="6626" w:type="dxa"/>
            <w:tcBorders>
              <w:bottom w:val="single" w:sz="4" w:space="0" w:color="auto"/>
            </w:tcBorders>
            <w:tcMar>
              <w:top w:w="100" w:type="dxa"/>
              <w:left w:w="120" w:type="dxa"/>
              <w:bottom w:w="100" w:type="dxa"/>
              <w:right w:w="120" w:type="dxa"/>
            </w:tcMar>
          </w:tcPr>
          <w:p w14:paraId="7616EAC2" w14:textId="77777777" w:rsidR="005776EE" w:rsidRDefault="005776EE" w:rsidP="00876BC1">
            <w:pPr>
              <w:pStyle w:val="Tablecontent"/>
            </w:pPr>
            <w:r>
              <w:t>AML/CTF Amendment Act 2024 received Royal Assent, establishing the legal framework for Tranche 2 reforms.</w:t>
            </w:r>
          </w:p>
        </w:tc>
      </w:tr>
      <w:tr w:rsidR="005776EE" w14:paraId="51D48865" w14:textId="77777777" w:rsidTr="000E1801">
        <w:tc>
          <w:tcPr>
            <w:tcW w:w="2400" w:type="dxa"/>
            <w:tcBorders>
              <w:top w:val="single" w:sz="4" w:space="0" w:color="auto"/>
              <w:bottom w:val="single" w:sz="4" w:space="0" w:color="auto"/>
            </w:tcBorders>
            <w:tcMar>
              <w:top w:w="100" w:type="dxa"/>
              <w:left w:w="120" w:type="dxa"/>
              <w:bottom w:w="100" w:type="dxa"/>
              <w:right w:w="120" w:type="dxa"/>
            </w:tcMar>
          </w:tcPr>
          <w:p w14:paraId="717C21B6" w14:textId="77777777" w:rsidR="005776EE" w:rsidRDefault="005776EE" w:rsidP="00876BC1">
            <w:pPr>
              <w:pStyle w:val="Tablecontent"/>
            </w:pPr>
            <w:r>
              <w:t>31 March 2026</w:t>
            </w:r>
          </w:p>
        </w:tc>
        <w:tc>
          <w:tcPr>
            <w:tcW w:w="6626" w:type="dxa"/>
            <w:tcBorders>
              <w:top w:val="single" w:sz="4" w:space="0" w:color="auto"/>
              <w:bottom w:val="single" w:sz="4" w:space="0" w:color="auto"/>
            </w:tcBorders>
            <w:tcMar>
              <w:top w:w="100" w:type="dxa"/>
              <w:left w:w="120" w:type="dxa"/>
              <w:bottom w:w="100" w:type="dxa"/>
              <w:right w:w="120" w:type="dxa"/>
            </w:tcMar>
          </w:tcPr>
          <w:p w14:paraId="4226493D" w14:textId="5CD25D22" w:rsidR="005776EE" w:rsidRDefault="005776EE" w:rsidP="00876BC1">
            <w:pPr>
              <w:pStyle w:val="Tablecontent"/>
            </w:pPr>
            <w:r>
              <w:t>AUSTRAC enrolment opens for newly captured reporting entities including law firms providing designated services.</w:t>
            </w:r>
            <w:r w:rsidR="003E2117">
              <w:t xml:space="preserve"> Law firms should have a clear understanding of designated services and whether they intend to supply them by this point.</w:t>
            </w:r>
          </w:p>
        </w:tc>
      </w:tr>
      <w:tr w:rsidR="005776EE" w14:paraId="5C225933" w14:textId="77777777" w:rsidTr="000E1801">
        <w:tc>
          <w:tcPr>
            <w:tcW w:w="2400" w:type="dxa"/>
            <w:tcBorders>
              <w:top w:val="single" w:sz="4" w:space="0" w:color="auto"/>
              <w:bottom w:val="single" w:sz="4" w:space="0" w:color="auto"/>
            </w:tcBorders>
            <w:tcMar>
              <w:top w:w="100" w:type="dxa"/>
              <w:left w:w="120" w:type="dxa"/>
              <w:bottom w:w="100" w:type="dxa"/>
              <w:right w:w="120" w:type="dxa"/>
            </w:tcMar>
          </w:tcPr>
          <w:p w14:paraId="61815F5C" w14:textId="77777777" w:rsidR="005776EE" w:rsidRDefault="005776EE" w:rsidP="00876BC1">
            <w:pPr>
              <w:pStyle w:val="Tablecontent"/>
            </w:pPr>
            <w:r>
              <w:t>1 July 2026</w:t>
            </w:r>
          </w:p>
        </w:tc>
        <w:tc>
          <w:tcPr>
            <w:tcW w:w="6626" w:type="dxa"/>
            <w:tcBorders>
              <w:top w:val="single" w:sz="4" w:space="0" w:color="auto"/>
              <w:bottom w:val="single" w:sz="4" w:space="0" w:color="auto"/>
            </w:tcBorders>
            <w:tcMar>
              <w:top w:w="100" w:type="dxa"/>
              <w:left w:w="120" w:type="dxa"/>
              <w:bottom w:w="100" w:type="dxa"/>
              <w:right w:w="120" w:type="dxa"/>
            </w:tcMar>
          </w:tcPr>
          <w:p w14:paraId="4E2CBE39" w14:textId="77777777" w:rsidR="00B81452" w:rsidRDefault="005776EE" w:rsidP="00876BC1">
            <w:pPr>
              <w:pStyle w:val="Tablecontent"/>
            </w:pPr>
            <w:r>
              <w:t xml:space="preserve">AML/CTF obligations commence for law firms providing designated services. </w:t>
            </w:r>
          </w:p>
          <w:p w14:paraId="3B343001" w14:textId="1742FF9E" w:rsidR="005776EE" w:rsidRDefault="005776EE" w:rsidP="00876BC1">
            <w:pPr>
              <w:pStyle w:val="Tablecontent"/>
            </w:pPr>
            <w:r>
              <w:t xml:space="preserve">Privacy Act obligations commence concurrently for personal information </w:t>
            </w:r>
            <w:r w:rsidR="00B81452">
              <w:t>collected for</w:t>
            </w:r>
            <w:r>
              <w:t xml:space="preserve"> AML/CTF compliance.</w:t>
            </w:r>
          </w:p>
        </w:tc>
      </w:tr>
      <w:tr w:rsidR="005776EE" w14:paraId="00D9DE5F" w14:textId="77777777" w:rsidTr="000E1801">
        <w:tc>
          <w:tcPr>
            <w:tcW w:w="2400" w:type="dxa"/>
            <w:tcBorders>
              <w:top w:val="single" w:sz="4" w:space="0" w:color="auto"/>
              <w:bottom w:val="single" w:sz="4" w:space="0" w:color="auto"/>
            </w:tcBorders>
            <w:tcMar>
              <w:top w:w="100" w:type="dxa"/>
              <w:left w:w="120" w:type="dxa"/>
              <w:bottom w:w="100" w:type="dxa"/>
              <w:right w:w="120" w:type="dxa"/>
            </w:tcMar>
          </w:tcPr>
          <w:p w14:paraId="2CC4D444" w14:textId="77777777" w:rsidR="005776EE" w:rsidRDefault="005776EE" w:rsidP="00876BC1">
            <w:pPr>
              <w:pStyle w:val="Tablecontent"/>
            </w:pPr>
            <w:r>
              <w:t>10 December 2026</w:t>
            </w:r>
          </w:p>
        </w:tc>
        <w:tc>
          <w:tcPr>
            <w:tcW w:w="6626" w:type="dxa"/>
            <w:tcBorders>
              <w:top w:val="single" w:sz="4" w:space="0" w:color="auto"/>
              <w:bottom w:val="single" w:sz="4" w:space="0" w:color="auto"/>
            </w:tcBorders>
            <w:tcMar>
              <w:top w:w="100" w:type="dxa"/>
              <w:left w:w="120" w:type="dxa"/>
              <w:bottom w:w="100" w:type="dxa"/>
              <w:right w:w="120" w:type="dxa"/>
            </w:tcMar>
          </w:tcPr>
          <w:p w14:paraId="16100D45" w14:textId="77777777" w:rsidR="005776EE" w:rsidRDefault="005776EE" w:rsidP="00876BC1">
            <w:pPr>
              <w:pStyle w:val="Tablecontent"/>
            </w:pPr>
            <w:r>
              <w:t>New APP 1 obligations commence requiring disclosure of automated decision-making that significantly affects individuals' rights or interests.</w:t>
            </w:r>
          </w:p>
        </w:tc>
      </w:tr>
    </w:tbl>
    <w:p w14:paraId="477BD95F" w14:textId="40B87B63" w:rsidR="005776EE" w:rsidRDefault="00633433" w:rsidP="00A30EAA">
      <w:pPr>
        <w:pStyle w:val="NumberedHeading2"/>
      </w:pPr>
      <w:bookmarkStart w:id="36" w:name="_Toc220069835"/>
      <w:bookmarkStart w:id="37" w:name="_Toc220655055"/>
      <w:bookmarkStart w:id="38" w:name="_Toc231895140"/>
      <w:r>
        <w:t>What are designated services</w:t>
      </w:r>
      <w:r w:rsidR="005776EE">
        <w:t>?</w:t>
      </w:r>
      <w:bookmarkEnd w:id="36"/>
      <w:bookmarkEnd w:id="37"/>
      <w:bookmarkEnd w:id="38"/>
    </w:p>
    <w:p w14:paraId="754EDA7D" w14:textId="2BD380E1" w:rsidR="005776EE" w:rsidRPr="001C130D" w:rsidRDefault="005776EE" w:rsidP="00A30EAA">
      <w:pPr>
        <w:pStyle w:val="Body"/>
      </w:pPr>
      <w:r>
        <w:t xml:space="preserve">A law firm will be affected if it provides any of the 'designated services' specified in the AML/CTF Act. AUSTRAC has </w:t>
      </w:r>
      <w:r w:rsidR="00BB33C7">
        <w:t xml:space="preserve">also </w:t>
      </w:r>
      <w:r>
        <w:t xml:space="preserve">published guidance </w:t>
      </w:r>
      <w:r w:rsidR="00633433">
        <w:t>explaining the</w:t>
      </w:r>
      <w:r>
        <w:t xml:space="preserve"> designated services law</w:t>
      </w:r>
      <w:r w:rsidR="00633433">
        <w:t xml:space="preserve"> firms may typically provide</w:t>
      </w:r>
      <w:r w:rsidR="00924F8C">
        <w:t>.</w:t>
      </w:r>
      <w:r>
        <w:rPr>
          <w:rStyle w:val="FootnoteReference"/>
        </w:rPr>
        <w:footnoteReference w:id="13"/>
      </w:r>
      <w:r w:rsidR="00924F8C">
        <w:t xml:space="preserve"> These include:</w:t>
      </w:r>
    </w:p>
    <w:p w14:paraId="6D20EA77" w14:textId="00E069E3" w:rsidR="005776EE" w:rsidRPr="00F447F8" w:rsidRDefault="005776EE" w:rsidP="00A30EAA">
      <w:pPr>
        <w:pStyle w:val="ListParagraph"/>
      </w:pPr>
      <w:r w:rsidRPr="00F447F8">
        <w:t>Assisting in the planning or execution of a transaction to buy or sell real estate;</w:t>
      </w:r>
    </w:p>
    <w:p w14:paraId="22CFB737" w14:textId="10535581" w:rsidR="005776EE" w:rsidRPr="00F447F8" w:rsidRDefault="005776EE" w:rsidP="00A30EAA">
      <w:pPr>
        <w:pStyle w:val="ListParagraph"/>
      </w:pPr>
      <w:r w:rsidRPr="00F447F8">
        <w:t>Assisting in the planning or execution of a transaction to buy, sell or transfer a business (including shares in a body corporate);</w:t>
      </w:r>
    </w:p>
    <w:p w14:paraId="15B486AF" w14:textId="0B2AC645" w:rsidR="005776EE" w:rsidRPr="00F447F8" w:rsidRDefault="005776EE" w:rsidP="00A30EAA">
      <w:pPr>
        <w:pStyle w:val="ListParagraph"/>
      </w:pPr>
      <w:r w:rsidRPr="00F447F8">
        <w:t>Managing a client's money, securities or other property</w:t>
      </w:r>
      <w:r w:rsidR="005A3CEB" w:rsidRPr="00F447F8">
        <w:t xml:space="preserve"> </w:t>
      </w:r>
    </w:p>
    <w:p w14:paraId="0D1FDB79" w14:textId="3F594049" w:rsidR="005776EE" w:rsidRPr="00F447F8" w:rsidRDefault="005776EE" w:rsidP="00A30EAA">
      <w:pPr>
        <w:pStyle w:val="ListParagraph"/>
      </w:pPr>
      <w:r w:rsidRPr="00F447F8">
        <w:t xml:space="preserve">Assisting in </w:t>
      </w:r>
      <w:r w:rsidR="00E21F99" w:rsidRPr="00F447F8">
        <w:t>loan transactions</w:t>
      </w:r>
      <w:r w:rsidRPr="00F447F8">
        <w:t>;</w:t>
      </w:r>
    </w:p>
    <w:p w14:paraId="1A3368DB" w14:textId="1CD51D02" w:rsidR="005776EE" w:rsidRPr="00F447F8" w:rsidRDefault="005776EE" w:rsidP="00A30EAA">
      <w:pPr>
        <w:pStyle w:val="ListParagraph"/>
      </w:pPr>
      <w:r w:rsidRPr="00F447F8">
        <w:t>Assisting in the creation, operation or management of trusts, companies or similar structures;</w:t>
      </w:r>
    </w:p>
    <w:p w14:paraId="6051868E" w14:textId="204BFC50" w:rsidR="00DE7241" w:rsidRDefault="005776EE" w:rsidP="00A30EAA">
      <w:pPr>
        <w:pStyle w:val="ListParagraph"/>
      </w:pPr>
      <w:r w:rsidRPr="00F447F8">
        <w:t>Acting as, or arranging for another person to act as, a nominee director, secretary or shareholder</w:t>
      </w:r>
      <w:r w:rsidR="00DE7241" w:rsidRPr="00F447F8">
        <w:t>,</w:t>
      </w:r>
      <w:r w:rsidRPr="00F447F8">
        <w:t xml:space="preserve"> </w:t>
      </w:r>
      <w:r w:rsidR="00DE7241" w:rsidRPr="00F447F8">
        <w:t>Providing a registered office for a body corporate.</w:t>
      </w:r>
    </w:p>
    <w:p w14:paraId="3DB865BB" w14:textId="77777777" w:rsidR="005776EE" w:rsidRDefault="005776EE" w:rsidP="00A30EAA">
      <w:pPr>
        <w:pStyle w:val="Body"/>
      </w:pPr>
      <w:r>
        <w:t xml:space="preserve">Importantly, certain legal services are </w:t>
      </w:r>
      <w:r>
        <w:rPr>
          <w:b/>
          <w:bCs/>
        </w:rPr>
        <w:t>excluded</w:t>
      </w:r>
      <w:r>
        <w:t xml:space="preserve"> from the designated services definition. These exclusions include:</w:t>
      </w:r>
    </w:p>
    <w:p w14:paraId="66239916" w14:textId="6946716A" w:rsidR="005776EE" w:rsidRDefault="005776EE" w:rsidP="00A30EAA">
      <w:pPr>
        <w:pStyle w:val="ListParagraph"/>
        <w:numPr>
          <w:ilvl w:val="0"/>
          <w:numId w:val="20"/>
        </w:numPr>
      </w:pPr>
      <w:r>
        <w:t>Legal advice</w:t>
      </w:r>
      <w:r w:rsidR="001C130D">
        <w:t xml:space="preserve"> only</w:t>
      </w:r>
      <w:r>
        <w:t xml:space="preserve"> (even if about a designated service);</w:t>
      </w:r>
    </w:p>
    <w:p w14:paraId="7EB4DF3E" w14:textId="02667730" w:rsidR="005776EE" w:rsidRDefault="005776EE" w:rsidP="00A30EAA">
      <w:pPr>
        <w:pStyle w:val="ListParagraph"/>
        <w:numPr>
          <w:ilvl w:val="0"/>
          <w:numId w:val="20"/>
        </w:numPr>
      </w:pPr>
      <w:r>
        <w:t>Representation in court, tribunal or other dispute resolution proceedings</w:t>
      </w:r>
      <w:r w:rsidR="009842E8">
        <w:t xml:space="preserve"> (provided that a designated service is not provided as part of that work)</w:t>
      </w:r>
      <w:r>
        <w:t>;</w:t>
      </w:r>
      <w:r w:rsidR="009842E8">
        <w:t xml:space="preserve"> and</w:t>
      </w:r>
    </w:p>
    <w:p w14:paraId="274285FA" w14:textId="5B4ADB32" w:rsidR="005776EE" w:rsidRDefault="005776EE" w:rsidP="00A30EAA">
      <w:pPr>
        <w:pStyle w:val="ListParagraph"/>
        <w:numPr>
          <w:ilvl w:val="0"/>
          <w:numId w:val="20"/>
        </w:numPr>
      </w:pPr>
      <w:r>
        <w:t xml:space="preserve">Trust account disbursements made on client instructions </w:t>
      </w:r>
      <w:r w:rsidRPr="009842E8">
        <w:rPr>
          <w:i/>
          <w:iCs/>
        </w:rPr>
        <w:t>in connection with legal services</w:t>
      </w:r>
      <w:r>
        <w:t>.</w:t>
      </w:r>
    </w:p>
    <w:p w14:paraId="0143B359" w14:textId="3624F988" w:rsidR="00F00A9C" w:rsidRDefault="005776EE" w:rsidP="00A30EAA">
      <w:pPr>
        <w:pStyle w:val="Body"/>
      </w:pPr>
      <w:r>
        <w:t>The effect of these exclusions is that many law firm activities remain outside the AML/CTF regime</w:t>
      </w:r>
      <w:r w:rsidR="003A1240">
        <w:t>, and will – provided their turnover is below $3Million, also remain outside the Privacy Act a</w:t>
      </w:r>
      <w:r w:rsidR="00701465">
        <w:t>s well.</w:t>
      </w:r>
    </w:p>
    <w:p w14:paraId="58F70CE8" w14:textId="7A51D037" w:rsidR="005E02FE" w:rsidRDefault="005776EE" w:rsidP="00A30EAA">
      <w:pPr>
        <w:pStyle w:val="Body"/>
      </w:pPr>
      <w:r>
        <w:t xml:space="preserve">A firm that provides only </w:t>
      </w:r>
      <w:r w:rsidR="00F00A9C">
        <w:t>family law</w:t>
      </w:r>
      <w:r>
        <w:t xml:space="preserve"> </w:t>
      </w:r>
      <w:r w:rsidR="008B0112">
        <w:t>assistance</w:t>
      </w:r>
      <w:r>
        <w:t xml:space="preserve">, for example, would not </w:t>
      </w:r>
      <w:r w:rsidR="008B0112">
        <w:t xml:space="preserve">necessarily </w:t>
      </w:r>
      <w:r>
        <w:t xml:space="preserve">be providing designated services and would not </w:t>
      </w:r>
      <w:r w:rsidR="00DB35F8">
        <w:t xml:space="preserve">need to worry about the Privacy Act provided </w:t>
      </w:r>
      <w:r w:rsidR="009158D0">
        <w:t>it</w:t>
      </w:r>
      <w:r w:rsidR="00DB35F8">
        <w:t xml:space="preserve"> do</w:t>
      </w:r>
      <w:r w:rsidR="009158D0">
        <w:t>es</w:t>
      </w:r>
      <w:r w:rsidR="00DB35F8">
        <w:t xml:space="preserve"> not exceed the annual turnover threshold</w:t>
      </w:r>
      <w:r w:rsidR="005E02FE">
        <w:t xml:space="preserve"> </w:t>
      </w:r>
      <w:r w:rsidR="005E02FE" w:rsidRPr="009158D0">
        <w:rPr>
          <w:b/>
          <w:bCs/>
        </w:rPr>
        <w:t>and</w:t>
      </w:r>
      <w:r w:rsidR="005E02FE">
        <w:t xml:space="preserve"> can implement processes to ensure </w:t>
      </w:r>
      <w:r w:rsidR="009158D0">
        <w:t>a designated service is not supplied accidentally.</w:t>
      </w:r>
    </w:p>
    <w:p w14:paraId="3E1A8C61" w14:textId="31266B1C" w:rsidR="005776EE" w:rsidRDefault="005E02FE" w:rsidP="00A30EAA">
      <w:pPr>
        <w:pStyle w:val="Body"/>
      </w:pPr>
      <w:r>
        <w:t>For example</w:t>
      </w:r>
      <w:r w:rsidR="005776EE">
        <w:t xml:space="preserve">, </w:t>
      </w:r>
      <w:r w:rsidR="00027B86">
        <w:t xml:space="preserve">a </w:t>
      </w:r>
      <w:r w:rsidR="00AB64E2">
        <w:t xml:space="preserve">family law property </w:t>
      </w:r>
      <w:r w:rsidR="00A731D2">
        <w:t>client</w:t>
      </w:r>
      <w:r w:rsidR="00637485">
        <w:t xml:space="preserve"> </w:t>
      </w:r>
      <w:r w:rsidR="00835606">
        <w:t>agrees on a property division</w:t>
      </w:r>
      <w:r w:rsidR="00A731D2">
        <w:t xml:space="preserve"> and consent order</w:t>
      </w:r>
      <w:r w:rsidR="00835606">
        <w:t>. One party is buying out the other’s interest in a business premises. You refer the</w:t>
      </w:r>
      <w:r w:rsidR="004636D9">
        <w:t xml:space="preserve"> conveyancing work</w:t>
      </w:r>
      <w:r w:rsidR="00835606">
        <w:t xml:space="preserve"> to a </w:t>
      </w:r>
      <w:r w:rsidR="00835606">
        <w:lastRenderedPageBreak/>
        <w:t>property firm, but your client</w:t>
      </w:r>
      <w:r w:rsidR="004636D9">
        <w:t xml:space="preserve"> came back to you for a </w:t>
      </w:r>
      <w:r w:rsidR="00D9366C">
        <w:t>g</w:t>
      </w:r>
      <w:r w:rsidR="004636D9">
        <w:t xml:space="preserve">uarantor’s </w:t>
      </w:r>
      <w:r w:rsidR="00D9366C">
        <w:t>c</w:t>
      </w:r>
      <w:r w:rsidR="004636D9">
        <w:t>ertificate</w:t>
      </w:r>
      <w:r w:rsidR="00D5656B">
        <w:t>.</w:t>
      </w:r>
      <w:r w:rsidR="004636D9">
        <w:t xml:space="preserve"> </w:t>
      </w:r>
      <w:r w:rsidR="00D5656B">
        <w:t>I</w:t>
      </w:r>
      <w:r w:rsidR="004636D9">
        <w:t>t is arguable</w:t>
      </w:r>
      <w:r w:rsidR="00AA7F5F">
        <w:rPr>
          <w:rStyle w:val="FootnoteReference"/>
        </w:rPr>
        <w:footnoteReference w:id="14"/>
      </w:r>
      <w:r w:rsidR="004636D9">
        <w:t xml:space="preserve"> that</w:t>
      </w:r>
      <w:r w:rsidR="00D9366C">
        <w:t xml:space="preserve"> advising on and witnessing</w:t>
      </w:r>
      <w:r w:rsidR="00410045">
        <w:t xml:space="preserve"> </w:t>
      </w:r>
      <w:r w:rsidR="00D5656B">
        <w:t>the guarantor’s certificate was</w:t>
      </w:r>
      <w:r w:rsidR="00410045">
        <w:t xml:space="preserve"> a designated service</w:t>
      </w:r>
      <w:r w:rsidR="005776EE">
        <w:t>.</w:t>
      </w:r>
      <w:r w:rsidR="00D5656B">
        <w:t xml:space="preserve"> There is no </w:t>
      </w:r>
      <w:r w:rsidR="00D5656B" w:rsidRPr="00D9366C">
        <w:rPr>
          <w:i/>
          <w:iCs/>
        </w:rPr>
        <w:t>de minimis</w:t>
      </w:r>
      <w:r w:rsidR="00D5656B">
        <w:t xml:space="preserve"> exemption for either AML or </w:t>
      </w:r>
      <w:r w:rsidR="009F46E2">
        <w:t>Privacy Act obligations – once a single designated service is supplied the firm must adopt a regulatory compliance framework.</w:t>
      </w:r>
    </w:p>
    <w:tbl>
      <w:tblPr>
        <w:tblW w:w="5000"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776EE" w14:paraId="5CA07250" w14:textId="77777777" w:rsidTr="00F447F8">
        <w:tc>
          <w:tcPr>
            <w:tcW w:w="9026" w:type="dxa"/>
            <w:tcBorders>
              <w:top w:val="nil"/>
              <w:left w:val="nil"/>
              <w:bottom w:val="nil"/>
              <w:right w:val="nil"/>
            </w:tcBorders>
            <w:shd w:val="clear" w:color="auto" w:fill="FFF3CD"/>
            <w:tcMar>
              <w:top w:w="160" w:type="dxa"/>
              <w:left w:w="200" w:type="dxa"/>
              <w:bottom w:w="160" w:type="dxa"/>
              <w:right w:w="200" w:type="dxa"/>
            </w:tcMar>
          </w:tcPr>
          <w:p w14:paraId="1B8846CC" w14:textId="77777777" w:rsidR="005776EE" w:rsidRPr="00F447F8" w:rsidRDefault="005776EE" w:rsidP="00A30EAA">
            <w:pPr>
              <w:pStyle w:val="Body"/>
              <w:rPr>
                <w:rStyle w:val="Strong"/>
              </w:rPr>
            </w:pPr>
            <w:r w:rsidRPr="00F447F8">
              <w:rPr>
                <w:rStyle w:val="Strong"/>
              </w:rPr>
              <w:t>Practical Note</w:t>
            </w:r>
          </w:p>
          <w:p w14:paraId="3CAF16EA" w14:textId="03848B18" w:rsidR="008B4FF7" w:rsidRPr="00F447F8" w:rsidRDefault="008B4FF7" w:rsidP="00A30EAA">
            <w:pPr>
              <w:pStyle w:val="Body"/>
            </w:pPr>
            <w:r w:rsidRPr="00F447F8">
              <w:t>If you conclude that your firm does not provide designated services and want to keep it that way</w:t>
            </w:r>
            <w:r w:rsidR="0013074A" w:rsidRPr="00F447F8">
              <w:t xml:space="preserve">, your firm will need a clear understanding what is on and off the list and an effective policy to ensure that </w:t>
            </w:r>
            <w:r w:rsidR="00FB5709" w:rsidRPr="00F447F8">
              <w:t>staff do not accept instructions within the AML regime.</w:t>
            </w:r>
          </w:p>
          <w:p w14:paraId="5610C69E" w14:textId="26AFADE6" w:rsidR="005776EE" w:rsidRPr="00F447F8" w:rsidRDefault="005776EE" w:rsidP="00A30EAA">
            <w:pPr>
              <w:pStyle w:val="Body"/>
              <w:rPr>
                <w:rStyle w:val="Strong"/>
              </w:rPr>
            </w:pPr>
            <w:r w:rsidRPr="00F447F8">
              <w:t>If your firm provides any designated services — even occasionally — you will need to implement both AML/CTF compliance and privacy compliance frameworks. The privacy obligations apply to all personal information collected, used or disclosed for AML/CTF purposes, which includes client identification documents, beneficial ownership records, and transaction records retained for the mandatory 7-year period.</w:t>
            </w:r>
          </w:p>
        </w:tc>
      </w:tr>
    </w:tbl>
    <w:p w14:paraId="63278108" w14:textId="1D70D0A6" w:rsidR="005776EE" w:rsidRDefault="005776EE" w:rsidP="00A30EAA">
      <w:pPr>
        <w:pStyle w:val="NumberedHeading2"/>
      </w:pPr>
      <w:bookmarkStart w:id="39" w:name="_Toc220069836"/>
      <w:bookmarkStart w:id="40" w:name="_Toc220655056"/>
      <w:bookmarkStart w:id="41" w:name="_Toc231895141"/>
      <w:r>
        <w:t>Consequences of Non-Compliance</w:t>
      </w:r>
      <w:bookmarkEnd w:id="39"/>
      <w:bookmarkEnd w:id="40"/>
      <w:bookmarkEnd w:id="41"/>
    </w:p>
    <w:p w14:paraId="7D8DF5E1" w14:textId="77777777" w:rsidR="005776EE" w:rsidRDefault="005776EE" w:rsidP="00A30EAA">
      <w:pPr>
        <w:pStyle w:val="Body"/>
      </w:pPr>
      <w:r>
        <w:t>Non-compliance with privacy obligations carries significant consequences across three dimensions: regulatory, professional, and reputational.</w:t>
      </w:r>
    </w:p>
    <w:p w14:paraId="4A1EC11C" w14:textId="77777777" w:rsidR="005776EE" w:rsidRDefault="005776EE" w:rsidP="00F447F8">
      <w:pPr>
        <w:pStyle w:val="Heading3"/>
      </w:pPr>
      <w:bookmarkStart w:id="42" w:name="_Toc220069837"/>
      <w:r>
        <w:t xml:space="preserve">Regulatory </w:t>
      </w:r>
      <w:r w:rsidRPr="00F447F8">
        <w:t>consequences</w:t>
      </w:r>
      <w:bookmarkEnd w:id="42"/>
    </w:p>
    <w:p w14:paraId="00EDF5AD" w14:textId="020BF2E8" w:rsidR="005776EE" w:rsidRDefault="005776EE" w:rsidP="00A30EAA">
      <w:pPr>
        <w:pStyle w:val="Body"/>
      </w:pPr>
      <w:r>
        <w:t>The OAIC has a range of enforcement powers under the Privacy Act. Where a privacy complaint is substantiated or the OAIC identifies non-compliance through an investigation, possible outcomes include</w:t>
      </w:r>
      <w:r w:rsidR="00531DDE">
        <w:t xml:space="preserve"> enforceable undertakings, adverse findings </w:t>
      </w:r>
      <w:r w:rsidR="00EB3EA2">
        <w:t>and civil penalties. F</w:t>
      </w:r>
      <w:r>
        <w:t>or serious or repeated interferences with privacy, penalties of up to $50 million (or higher amounts based on benefit obtained or turnover) may apply.</w:t>
      </w:r>
      <w:r>
        <w:rPr>
          <w:rStyle w:val="FootnoteReference"/>
        </w:rPr>
        <w:footnoteReference w:id="15"/>
      </w:r>
    </w:p>
    <w:p w14:paraId="43F6A4EC" w14:textId="51F1F403" w:rsidR="005776EE" w:rsidRDefault="005776EE" w:rsidP="00A30EAA">
      <w:pPr>
        <w:pStyle w:val="Body"/>
      </w:pPr>
      <w:r>
        <w:t>Separately, failure to comply with the Notifiable Data Breaches scheme</w:t>
      </w:r>
      <w:r w:rsidR="00A30EAA">
        <w:t xml:space="preserve">, </w:t>
      </w:r>
      <w:r>
        <w:t>including failure to notify the OAIC and affected individuals of an eligible data breach</w:t>
      </w:r>
      <w:r w:rsidR="00A30EAA">
        <w:t xml:space="preserve">, </w:t>
      </w:r>
      <w:r>
        <w:t>is an interference with privacy that may attract enforcement action.</w:t>
      </w:r>
      <w:r>
        <w:rPr>
          <w:rStyle w:val="FootnoteReference"/>
        </w:rPr>
        <w:footnoteReference w:id="16"/>
      </w:r>
    </w:p>
    <w:p w14:paraId="6821B89E" w14:textId="77777777" w:rsidR="005776EE" w:rsidRPr="005A2DB3" w:rsidRDefault="005776EE" w:rsidP="00973158">
      <w:pPr>
        <w:pStyle w:val="Heading3"/>
      </w:pPr>
      <w:bookmarkStart w:id="43" w:name="_Toc220069838"/>
      <w:r w:rsidRPr="005A2DB3">
        <w:t>Professional consequences</w:t>
      </w:r>
      <w:bookmarkEnd w:id="43"/>
    </w:p>
    <w:p w14:paraId="5377102B" w14:textId="0A7FE509" w:rsidR="005776EE" w:rsidRDefault="00926EA1" w:rsidP="00A30EAA">
      <w:pPr>
        <w:pStyle w:val="Body"/>
      </w:pPr>
      <w:r>
        <w:t>F</w:t>
      </w:r>
      <w:r w:rsidR="005776EE">
        <w:t xml:space="preserve">ailure to comply with statutory obligations may </w:t>
      </w:r>
      <w:r w:rsidR="0078345C">
        <w:t xml:space="preserve">also attract disciplinary </w:t>
      </w:r>
      <w:r w:rsidR="00444247">
        <w:t>attention</w:t>
      </w:r>
      <w:r w:rsidR="0078345C">
        <w:t xml:space="preserve"> from the legal services commission</w:t>
      </w:r>
      <w:r w:rsidR="005776EE">
        <w:t>.</w:t>
      </w:r>
    </w:p>
    <w:p w14:paraId="19B41385" w14:textId="77777777" w:rsidR="005776EE" w:rsidRDefault="005776EE" w:rsidP="00973158">
      <w:pPr>
        <w:pStyle w:val="Heading3"/>
      </w:pPr>
      <w:bookmarkStart w:id="44" w:name="_Toc220069839"/>
      <w:r>
        <w:t>Reputational consequences</w:t>
      </w:r>
      <w:bookmarkEnd w:id="44"/>
    </w:p>
    <w:p w14:paraId="1E66621D" w14:textId="6E66753D" w:rsidR="005776EE" w:rsidRDefault="005776EE" w:rsidP="00A30EAA">
      <w:pPr>
        <w:pStyle w:val="Body"/>
      </w:pPr>
      <w:r>
        <w:t xml:space="preserve">High-profile </w:t>
      </w:r>
      <w:r w:rsidR="00444247">
        <w:t xml:space="preserve">data </w:t>
      </w:r>
      <w:r>
        <w:t xml:space="preserve">breaches in the legal sector attract media attention and can significantly damage client trust </w:t>
      </w:r>
      <w:r w:rsidR="00A30EAA">
        <w:t xml:space="preserve">, </w:t>
      </w:r>
      <w:r>
        <w:t>particularly given that clients entrust law firms with their most sensitive personal</w:t>
      </w:r>
      <w:r w:rsidR="00444247">
        <w:t xml:space="preserve"> and</w:t>
      </w:r>
      <w:r>
        <w:t xml:space="preserve"> financial information.</w:t>
      </w:r>
      <w:r w:rsidR="001C6B30">
        <w:t xml:space="preserve"> </w:t>
      </w:r>
    </w:p>
    <w:p w14:paraId="58CEBF69" w14:textId="6A81F933" w:rsidR="005776EE" w:rsidRDefault="005776EE" w:rsidP="00A30EAA">
      <w:pPr>
        <w:pStyle w:val="NumberedHeading2"/>
      </w:pPr>
      <w:bookmarkStart w:id="45" w:name="_Toc220069840"/>
      <w:bookmarkStart w:id="46" w:name="_Toc220655057"/>
      <w:bookmarkStart w:id="47" w:name="_Toc231895142"/>
      <w:r>
        <w:t>Benefits of Strong Privacy Practices</w:t>
      </w:r>
      <w:bookmarkEnd w:id="45"/>
      <w:bookmarkEnd w:id="46"/>
      <w:bookmarkEnd w:id="47"/>
    </w:p>
    <w:p w14:paraId="0E9206EC" w14:textId="14F8AB84" w:rsidR="005776EE" w:rsidRDefault="005776EE" w:rsidP="00A30EAA">
      <w:pPr>
        <w:pStyle w:val="Body"/>
      </w:pPr>
      <w:r>
        <w:t>While this chapter has focused on the regulatory requirements and consequences of non-compliance, privacy compliance should not be viewed solely as a burden or risk mitigation exercise. Strong privacy practices deliver genuine benefits to law firms and their clients</w:t>
      </w:r>
      <w:r w:rsidR="009A77C5">
        <w:t>, including enhanced trust and streamlined information handling</w:t>
      </w:r>
      <w:r>
        <w:t>.</w:t>
      </w:r>
    </w:p>
    <w:p w14:paraId="6B3BD909" w14:textId="69264AD0" w:rsidR="00E15052" w:rsidRDefault="009A77C5" w:rsidP="00A30EAA">
      <w:pPr>
        <w:pStyle w:val="Body"/>
      </w:pPr>
      <w:r>
        <w:t>Improvements in cybersecurity are a particularly effective risk mitigation tool.</w:t>
      </w:r>
    </w:p>
    <w:p w14:paraId="39C1E0E5" w14:textId="3B39B100" w:rsidR="001F3BAF" w:rsidRDefault="005776EE" w:rsidP="00A30EAA">
      <w:pPr>
        <w:pStyle w:val="Body"/>
      </w:pPr>
      <w:r>
        <w:lastRenderedPageBreak/>
        <w:t>The OAIC's Privacy Management Framework emphasises that privacy compliance is not a one-time project but an ongoing commitment.</w:t>
      </w:r>
      <w:r>
        <w:rPr>
          <w:rStyle w:val="FootnoteReference"/>
        </w:rPr>
        <w:footnoteReference w:id="17"/>
      </w:r>
      <w:r>
        <w:t xml:space="preserve"> The four-step cycle</w:t>
      </w:r>
      <w:r w:rsidR="00A30EAA">
        <w:t xml:space="preserve">: </w:t>
      </w:r>
      <w:r>
        <w:t>Embed, Establish, Evaluate, Enhance</w:t>
      </w:r>
      <w:r w:rsidR="00A30EAA">
        <w:t xml:space="preserve">, </w:t>
      </w:r>
      <w:r>
        <w:t>reflects the need to build privacy into firm culture, implement appropriate practices, monitor their effectiveness, and continuously improve. This manual provides the foundation for that ongoing commitment.</w:t>
      </w:r>
    </w:p>
    <w:p w14:paraId="16DF7FE3" w14:textId="1EB9D6A5" w:rsidR="005776EE" w:rsidRPr="001F3BAF" w:rsidRDefault="001F3BAF" w:rsidP="001F3BAF">
      <w:pPr>
        <w:spacing w:after="0"/>
        <w:rPr>
          <w:color w:val="404040"/>
          <w:sz w:val="18"/>
          <w:szCs w:val="18"/>
          <w:lang w:eastAsia="en-US"/>
        </w:rPr>
      </w:pPr>
      <w:r>
        <w:br w:type="page"/>
      </w:r>
    </w:p>
    <w:tbl>
      <w:tblPr>
        <w:tblW w:w="5000"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776EE" w14:paraId="4BC9FCD2" w14:textId="77777777" w:rsidTr="00F447F8">
        <w:tc>
          <w:tcPr>
            <w:tcW w:w="9026" w:type="dxa"/>
            <w:tcBorders>
              <w:top w:val="nil"/>
              <w:left w:val="nil"/>
              <w:bottom w:val="nil"/>
              <w:right w:val="nil"/>
            </w:tcBorders>
            <w:shd w:val="clear" w:color="auto" w:fill="D4EDDA"/>
            <w:tcMar>
              <w:top w:w="160" w:type="dxa"/>
              <w:left w:w="200" w:type="dxa"/>
              <w:bottom w:w="160" w:type="dxa"/>
              <w:right w:w="200" w:type="dxa"/>
            </w:tcMar>
          </w:tcPr>
          <w:p w14:paraId="5DDD8C4D" w14:textId="77777777" w:rsidR="005776EE" w:rsidRDefault="005776EE" w:rsidP="00A30EAA">
            <w:pPr>
              <w:pStyle w:val="Body"/>
            </w:pPr>
            <w:r>
              <w:lastRenderedPageBreak/>
              <w:t>Key Takeaways — Chapter 2</w:t>
            </w:r>
          </w:p>
          <w:p w14:paraId="175C6162" w14:textId="23BA1F82" w:rsidR="005776EE" w:rsidRDefault="005776EE" w:rsidP="00A30EAA">
            <w:pPr>
              <w:pStyle w:val="ListParagraph"/>
            </w:pPr>
            <w:r>
              <w:t xml:space="preserve">AML/CTF Tranche 2 reforms bring law firms providing designated services </w:t>
            </w:r>
            <w:r w:rsidR="0090089A">
              <w:t xml:space="preserve">partially </w:t>
            </w:r>
            <w:r>
              <w:t>under the Privacy Act from 1 July 2026, regardless of annual turnover.</w:t>
            </w:r>
          </w:p>
          <w:p w14:paraId="4E10A64C" w14:textId="7EFE0CA7" w:rsidR="005776EE" w:rsidRDefault="005776EE" w:rsidP="00A30EAA">
            <w:pPr>
              <w:pStyle w:val="ListParagraph"/>
            </w:pPr>
            <w:r>
              <w:t xml:space="preserve">Designated services include conveyancing, business sales, managing client property, and company/trust structuring </w:t>
            </w:r>
            <w:r w:rsidR="00A30EAA">
              <w:t xml:space="preserve">, </w:t>
            </w:r>
            <w:r>
              <w:t>but exclude litigation and legal advice.</w:t>
            </w:r>
          </w:p>
          <w:p w14:paraId="7AD15580" w14:textId="39328780" w:rsidR="005776EE" w:rsidRPr="00D60332" w:rsidRDefault="00E724CF" w:rsidP="00A30EAA">
            <w:pPr>
              <w:pStyle w:val="ListParagraph"/>
            </w:pPr>
            <w:r>
              <w:t xml:space="preserve">Only information acquired or retained for AML/CTF purposes </w:t>
            </w:r>
            <w:r w:rsidR="00E3380B">
              <w:t>is</w:t>
            </w:r>
            <w:r>
              <w:t xml:space="preserve"> regulated under the Privacy Act </w:t>
            </w:r>
            <w:r w:rsidRPr="00E3380B">
              <w:rPr>
                <w:b/>
                <w:bCs/>
              </w:rPr>
              <w:t>if</w:t>
            </w:r>
            <w:r>
              <w:t xml:space="preserve"> your firm’s turnover is less than $3M</w:t>
            </w:r>
          </w:p>
        </w:tc>
      </w:tr>
    </w:tbl>
    <w:p w14:paraId="0718295D" w14:textId="77777777" w:rsidR="00EB4FD6" w:rsidRDefault="00EB4FD6" w:rsidP="00F059E7">
      <w:pPr>
        <w:pStyle w:val="Heading1"/>
      </w:pPr>
      <w:bookmarkStart w:id="48" w:name="_Toc220069846"/>
      <w:bookmarkStart w:id="49" w:name="_Toc220655058"/>
    </w:p>
    <w:p w14:paraId="69C58665" w14:textId="77777777" w:rsidR="00EB4FD6" w:rsidRDefault="00EB4FD6">
      <w:pPr>
        <w:spacing w:after="0"/>
        <w:rPr>
          <w:b/>
          <w:bCs/>
          <w:color w:val="0F2D52"/>
          <w:kern w:val="32"/>
          <w:sz w:val="32"/>
          <w:szCs w:val="32"/>
        </w:rPr>
      </w:pPr>
      <w:r>
        <w:br w:type="page"/>
      </w:r>
    </w:p>
    <w:p w14:paraId="1EC352FC" w14:textId="2DD8EFE2" w:rsidR="00571375" w:rsidRPr="0005236E" w:rsidRDefault="00261643" w:rsidP="0005236E">
      <w:pPr>
        <w:pStyle w:val="NumberedHeading1"/>
      </w:pPr>
      <w:bookmarkStart w:id="50" w:name="_Toc231895143"/>
      <w:bookmarkEnd w:id="48"/>
      <w:r>
        <w:lastRenderedPageBreak/>
        <w:t>Sources of regulation and how they fit together</w:t>
      </w:r>
      <w:bookmarkStart w:id="51" w:name="_Toc220069847"/>
      <w:bookmarkStart w:id="52" w:name="_Toc220655059"/>
      <w:bookmarkEnd w:id="49"/>
      <w:bookmarkEnd w:id="50"/>
    </w:p>
    <w:p w14:paraId="4D9D71B3" w14:textId="1552A652" w:rsidR="005776EE" w:rsidRDefault="005776EE" w:rsidP="00A30EAA">
      <w:pPr>
        <w:pStyle w:val="NumberedHeading2"/>
      </w:pPr>
      <w:bookmarkStart w:id="53" w:name="_Toc231895144"/>
      <w:r>
        <w:t>The Privacy Act 1988 (</w:t>
      </w:r>
      <w:proofErr w:type="spellStart"/>
      <w:r>
        <w:t>Cth</w:t>
      </w:r>
      <w:proofErr w:type="spellEnd"/>
      <w:r>
        <w:t>)</w:t>
      </w:r>
      <w:bookmarkEnd w:id="51"/>
      <w:bookmarkEnd w:id="52"/>
      <w:bookmarkEnd w:id="53"/>
    </w:p>
    <w:p w14:paraId="2C1FB705" w14:textId="7756954D" w:rsidR="005776EE" w:rsidRDefault="005776EE" w:rsidP="00A30EAA">
      <w:pPr>
        <w:pStyle w:val="Body"/>
      </w:pPr>
      <w:r>
        <w:t xml:space="preserve">The </w:t>
      </w:r>
      <w:r>
        <w:rPr>
          <w:i/>
          <w:iCs/>
        </w:rPr>
        <w:t>Privacy Act 1988</w:t>
      </w:r>
      <w:r>
        <w:t xml:space="preserve"> (</w:t>
      </w:r>
      <w:proofErr w:type="spellStart"/>
      <w:r>
        <w:t>Cth</w:t>
      </w:r>
      <w:proofErr w:type="spellEnd"/>
      <w:r>
        <w:t xml:space="preserve">) is the principal Commonwealth legislation governing the handling of personal information by Australian Government agencies and private sector </w:t>
      </w:r>
      <w:r w:rsidRPr="00A30EAA">
        <w:t>organisations</w:t>
      </w:r>
      <w:r>
        <w:t xml:space="preserve">. </w:t>
      </w:r>
    </w:p>
    <w:p w14:paraId="57BD103C" w14:textId="77777777" w:rsidR="005776EE" w:rsidRDefault="005776EE" w:rsidP="00973158">
      <w:pPr>
        <w:pStyle w:val="Heading3"/>
      </w:pPr>
      <w:bookmarkStart w:id="54" w:name="_Toc220069848"/>
      <w:r>
        <w:t>Who is covered?</w:t>
      </w:r>
      <w:bookmarkEnd w:id="54"/>
    </w:p>
    <w:p w14:paraId="0B24AA56" w14:textId="61FFD0CA" w:rsidR="005776EE" w:rsidRDefault="005776EE" w:rsidP="00A30EAA">
      <w:pPr>
        <w:pStyle w:val="Body"/>
      </w:pPr>
      <w:r>
        <w:t>The Privacy Act applies to 'APP entities', which include Australian Government agencies and 'organisations'.</w:t>
      </w:r>
      <w:r>
        <w:rPr>
          <w:rStyle w:val="FootnoteReference"/>
        </w:rPr>
        <w:footnoteReference w:id="18"/>
      </w:r>
      <w:r>
        <w:t xml:space="preserve"> For private sector purposes, an 'organisation' is generally </w:t>
      </w:r>
      <w:r w:rsidR="00A94292">
        <w:t xml:space="preserve">trading entity </w:t>
      </w:r>
      <w:r>
        <w:t>that is not a small business operator.</w:t>
      </w:r>
    </w:p>
    <w:p w14:paraId="60FD15C5" w14:textId="77777777" w:rsidR="00A94292" w:rsidRDefault="005776EE" w:rsidP="00A30EAA">
      <w:pPr>
        <w:pStyle w:val="Body"/>
      </w:pPr>
      <w:r>
        <w:t>A 'small business operator' is a business with annual turnover of $3 million or less.</w:t>
      </w:r>
      <w:r>
        <w:rPr>
          <w:rStyle w:val="FootnoteReference"/>
        </w:rPr>
        <w:footnoteReference w:id="19"/>
      </w:r>
      <w:r>
        <w:t xml:space="preserve"> Small business operators are generally exempt from the Privacy Act. </w:t>
      </w:r>
    </w:p>
    <w:p w14:paraId="18A7653C" w14:textId="058A6365" w:rsidR="005776EE" w:rsidRDefault="005776EE" w:rsidP="00A30EAA">
      <w:pPr>
        <w:pStyle w:val="Body"/>
      </w:pPr>
      <w:r>
        <w:t>However, this exemption does not apply to businesses that fall within specified categories, including businesses that are reporting entities under the AML/CTF Act.</w:t>
      </w:r>
      <w:r>
        <w:rPr>
          <w:rStyle w:val="FootnoteReference"/>
        </w:rPr>
        <w:footnoteReference w:id="20"/>
      </w:r>
      <w:r w:rsidR="0036274E">
        <w:t xml:space="preserve"> (See chapter </w:t>
      </w:r>
      <w:r w:rsidR="0036274E">
        <w:fldChar w:fldCharType="begin"/>
      </w:r>
      <w:r w:rsidR="0036274E">
        <w:instrText xml:space="preserve"> REF _Ref220075640 \h  \* MERGEFORMAT </w:instrText>
      </w:r>
      <w:r w:rsidR="0036274E">
        <w:fldChar w:fldCharType="separate"/>
      </w:r>
      <w:r w:rsidR="004008EB">
        <w:t>2.1 The AML/CTF &amp; Privacy Act interaction.</w:t>
      </w:r>
      <w:r w:rsidR="0036274E">
        <w:fldChar w:fldCharType="end"/>
      </w:r>
      <w:r w:rsidR="0036274E">
        <w:t>)</w:t>
      </w:r>
      <w:r w:rsidR="00856699">
        <w:t>.</w:t>
      </w:r>
    </w:p>
    <w:p w14:paraId="76F02115" w14:textId="65FE29E5" w:rsidR="005776EE" w:rsidRDefault="005776EE" w:rsidP="00973158">
      <w:pPr>
        <w:pStyle w:val="Heading3"/>
      </w:pPr>
      <w:bookmarkStart w:id="55" w:name="_Toc220069849"/>
      <w:r>
        <w:t xml:space="preserve">What </w:t>
      </w:r>
      <w:r w:rsidR="005349A2">
        <w:t>is covered</w:t>
      </w:r>
      <w:r>
        <w:t>?</w:t>
      </w:r>
      <w:bookmarkEnd w:id="55"/>
    </w:p>
    <w:p w14:paraId="7532090E" w14:textId="3D0B1435" w:rsidR="005776EE" w:rsidRDefault="005776EE" w:rsidP="00A30EAA">
      <w:pPr>
        <w:pStyle w:val="Body"/>
      </w:pPr>
      <w:r>
        <w:t xml:space="preserve">The Privacy Act </w:t>
      </w:r>
      <w:r w:rsidR="00E90BC3">
        <w:t xml:space="preserve">regulates collection and use of </w:t>
      </w:r>
      <w:r>
        <w:t>'personal information'</w:t>
      </w:r>
      <w:r w:rsidR="00C864A3">
        <w:t>. Personal information</w:t>
      </w:r>
      <w:r>
        <w:t xml:space="preserve"> </w:t>
      </w:r>
      <w:r w:rsidR="0067670A">
        <w:t xml:space="preserve">is </w:t>
      </w:r>
      <w:r>
        <w:t>information or an opinion about an identified individual, or an individual who is reasonably identifiable, whether the information or opinion is true or not, and whether recorded in a material form or not.</w:t>
      </w:r>
      <w:r>
        <w:rPr>
          <w:rStyle w:val="FootnoteReference"/>
        </w:rPr>
        <w:footnoteReference w:id="21"/>
      </w:r>
    </w:p>
    <w:p w14:paraId="1B92439E" w14:textId="42A6447E" w:rsidR="005776EE" w:rsidRDefault="005776EE" w:rsidP="00A30EAA">
      <w:pPr>
        <w:pStyle w:val="Body"/>
      </w:pPr>
      <w:r>
        <w:t>This definition is broad</w:t>
      </w:r>
      <w:r w:rsidR="002F7CE4">
        <w:t>.</w:t>
      </w:r>
      <w:r w:rsidR="00C0085B">
        <w:rPr>
          <w:rStyle w:val="FootnoteReference"/>
        </w:rPr>
        <w:footnoteReference w:id="22"/>
      </w:r>
      <w:r>
        <w:t xml:space="preserve"> It includes obvious identifiers such as names, addresses, and dates of birth, but also extends to any information that could be used to identify an individual, either on its own or in combination with other information. For law firms, personal information</w:t>
      </w:r>
      <w:r w:rsidR="008D4A18">
        <w:t xml:space="preserve"> </w:t>
      </w:r>
      <w:r w:rsidR="009929B5">
        <w:t xml:space="preserve">likely to arise in relation to AML enquiries </w:t>
      </w:r>
      <w:r w:rsidR="00E94E40">
        <w:t>might include</w:t>
      </w:r>
      <w:r>
        <w:t>:</w:t>
      </w:r>
    </w:p>
    <w:p w14:paraId="5538BCAB" w14:textId="74BFFDBF" w:rsidR="005776EE" w:rsidRDefault="005776EE" w:rsidP="00A30EAA">
      <w:pPr>
        <w:pStyle w:val="ListParagraph"/>
      </w:pPr>
      <w:r>
        <w:t>client names, addresses, contact details, and dates of birth;</w:t>
      </w:r>
    </w:p>
    <w:p w14:paraId="7CAAD5C4" w14:textId="71E015A0" w:rsidR="005776EE" w:rsidRDefault="005776EE" w:rsidP="00A30EAA">
      <w:pPr>
        <w:pStyle w:val="ListParagraph"/>
      </w:pPr>
      <w:r>
        <w:t>identity documents (driver's licence, passport copies);</w:t>
      </w:r>
    </w:p>
    <w:p w14:paraId="40D7C4C0" w14:textId="2A82AAD2" w:rsidR="005776EE" w:rsidRDefault="005776EE" w:rsidP="00A30EAA">
      <w:pPr>
        <w:pStyle w:val="ListParagraph"/>
      </w:pPr>
      <w:r>
        <w:t>financial information (bank account details, tax file numbers);</w:t>
      </w:r>
    </w:p>
    <w:p w14:paraId="30A3E007" w14:textId="46E717A3" w:rsidR="005776EE" w:rsidRDefault="005776EE" w:rsidP="00A30EAA">
      <w:pPr>
        <w:pStyle w:val="ListParagraph"/>
      </w:pPr>
      <w:r>
        <w:t>information about third parties mentioned in client matters</w:t>
      </w:r>
      <w:r w:rsidR="00E94E40">
        <w:t xml:space="preserve"> (trust beneficiaries, for example)</w:t>
      </w:r>
      <w:r>
        <w:t>;</w:t>
      </w:r>
    </w:p>
    <w:p w14:paraId="19D64410" w14:textId="5E88F335" w:rsidR="005776EE" w:rsidRDefault="005776EE" w:rsidP="00A30EAA">
      <w:pPr>
        <w:pStyle w:val="ListParagraph"/>
      </w:pPr>
      <w:r>
        <w:t xml:space="preserve">beneficial ownership </w:t>
      </w:r>
      <w:r w:rsidR="007644B1">
        <w:t>information.</w:t>
      </w:r>
    </w:p>
    <w:p w14:paraId="5371FC92" w14:textId="43D9C275" w:rsidR="007644B1" w:rsidRDefault="007644B1" w:rsidP="00A30EAA">
      <w:pPr>
        <w:pStyle w:val="ListParagraph"/>
      </w:pPr>
      <w:r>
        <w:t>recruitment</w:t>
      </w:r>
      <w:r w:rsidR="005776EE">
        <w:t xml:space="preserve"> </w:t>
      </w:r>
      <w:r w:rsidR="000446F8">
        <w:t>information</w:t>
      </w:r>
      <w:r w:rsidR="005776EE">
        <w:t xml:space="preserve"> (noting the employee records exemption for current employees).</w:t>
      </w:r>
    </w:p>
    <w:p w14:paraId="688B0B07" w14:textId="7BC86FB2" w:rsidR="00A720F3" w:rsidRDefault="003E5392" w:rsidP="00A30EAA">
      <w:pPr>
        <w:pStyle w:val="Body"/>
      </w:pPr>
      <w:r>
        <w:t>S</w:t>
      </w:r>
      <w:r w:rsidR="008019C6">
        <w:t>tatutory obligations relating to personal information</w:t>
      </w:r>
      <w:r>
        <w:t xml:space="preserve"> </w:t>
      </w:r>
      <w:r w:rsidRPr="000949BD">
        <w:rPr>
          <w:b/>
          <w:bCs/>
        </w:rPr>
        <w:t>are in addition to</w:t>
      </w:r>
      <w:r w:rsidR="008019C6">
        <w:t xml:space="preserve"> a firm’s confidentiality obligations to clients and others</w:t>
      </w:r>
      <w:r>
        <w:t xml:space="preserve">. </w:t>
      </w:r>
      <w:r w:rsidR="00A720F3">
        <w:t xml:space="preserve">A solicitor who wrongfully disclosed confidential information could be dealt with by the Legal Services Commissioner in addition to </w:t>
      </w:r>
      <w:r w:rsidR="008D3781">
        <w:t>the OAIC.</w:t>
      </w:r>
    </w:p>
    <w:p w14:paraId="42D7A5D0" w14:textId="4A225C6D" w:rsidR="008019C6" w:rsidRPr="003E5392" w:rsidRDefault="00822C4A" w:rsidP="00A30EAA">
      <w:pPr>
        <w:pStyle w:val="Body"/>
      </w:pPr>
      <w:r>
        <w:t xml:space="preserve">It is important to note that </w:t>
      </w:r>
      <w:r w:rsidRPr="001C4E09">
        <w:rPr>
          <w:i/>
          <w:iCs/>
        </w:rPr>
        <w:t>Privacy Act</w:t>
      </w:r>
      <w:r>
        <w:t xml:space="preserve"> obligations </w:t>
      </w:r>
      <w:r w:rsidR="003E03A4">
        <w:t xml:space="preserve">may </w:t>
      </w:r>
      <w:r>
        <w:t xml:space="preserve">apply </w:t>
      </w:r>
      <w:r w:rsidR="003E03A4">
        <w:t xml:space="preserve">with respect to information held about </w:t>
      </w:r>
      <w:r>
        <w:t xml:space="preserve">opposing parties, staff and </w:t>
      </w:r>
      <w:r w:rsidR="00BC1FD3">
        <w:t>anyone else whose personal information is entrusted to you.</w:t>
      </w:r>
      <w:r w:rsidR="00153D89">
        <w:rPr>
          <w:rStyle w:val="FootnoteReference"/>
        </w:rPr>
        <w:footnoteReference w:id="23"/>
      </w:r>
      <w:r w:rsidR="00BC1FD3">
        <w:t xml:space="preserve"> </w:t>
      </w:r>
    </w:p>
    <w:p w14:paraId="639F5735" w14:textId="77777777" w:rsidR="005776EE" w:rsidRDefault="005776EE" w:rsidP="00973158">
      <w:pPr>
        <w:pStyle w:val="Heading3"/>
      </w:pPr>
      <w:bookmarkStart w:id="56" w:name="_Toc220069850"/>
      <w:r>
        <w:lastRenderedPageBreak/>
        <w:t>Sensitive information</w:t>
      </w:r>
      <w:bookmarkEnd w:id="56"/>
    </w:p>
    <w:p w14:paraId="72E1753A" w14:textId="7417C0A0" w:rsidR="005776EE" w:rsidRDefault="005776EE" w:rsidP="00A30EAA">
      <w:pPr>
        <w:pStyle w:val="Body"/>
      </w:pPr>
      <w:r>
        <w:t>'Sensitive information'</w:t>
      </w:r>
      <w:r w:rsidR="002E7E84">
        <w:rPr>
          <w:rStyle w:val="FootnoteReference"/>
        </w:rPr>
        <w:footnoteReference w:id="24"/>
      </w:r>
      <w:r>
        <w:t xml:space="preserve"> is a subset of personal information that attracts additional protections under the APPs</w:t>
      </w:r>
      <w:r w:rsidR="00064264">
        <w:t>.</w:t>
      </w:r>
      <w:r>
        <w:t xml:space="preserve"> Sensitive information includes information about an individual's racial or ethnic origin, political opinions, religious beliefs, sexual orientation, criminal record, health information, genetic information, and biometric information.</w:t>
      </w:r>
      <w:r>
        <w:rPr>
          <w:rStyle w:val="FootnoteReference"/>
        </w:rPr>
        <w:footnoteReference w:id="25"/>
      </w:r>
      <w:r w:rsidR="002E2035">
        <w:t xml:space="preserve"> It is likely that firms will need to consider sensitive information to undertake some AML/CTF enquiries (political affiliation</w:t>
      </w:r>
      <w:r w:rsidR="0023401A">
        <w:t>, enquiries about Politically Exposed Persons</w:t>
      </w:r>
      <w:r w:rsidR="002E2035">
        <w:t xml:space="preserve"> and </w:t>
      </w:r>
      <w:r w:rsidR="008E0FE2">
        <w:t>geographic source of funds</w:t>
      </w:r>
      <w:r w:rsidR="002E2035">
        <w:t xml:space="preserve"> </w:t>
      </w:r>
      <w:r w:rsidR="008E0FE2">
        <w:t>information</w:t>
      </w:r>
      <w:r w:rsidR="002E2035">
        <w:t>, for example.)</w:t>
      </w:r>
    </w:p>
    <w:p w14:paraId="450153FA" w14:textId="776381F1" w:rsidR="00737A03" w:rsidRDefault="005776EE" w:rsidP="00A30EAA">
      <w:pPr>
        <w:pStyle w:val="Body"/>
      </w:pPr>
      <w:r>
        <w:t xml:space="preserve">Law firms </w:t>
      </w:r>
      <w:r w:rsidR="009C42FA">
        <w:t>commonly</w:t>
      </w:r>
      <w:r>
        <w:t xml:space="preserve"> hold sensitive information about clients</w:t>
      </w:r>
      <w:r w:rsidR="00247260">
        <w:t xml:space="preserve"> and third parties</w:t>
      </w:r>
      <w:r>
        <w:t xml:space="preserve">, particularly in family law, criminal law, personal injury, and estate planning matters. </w:t>
      </w:r>
    </w:p>
    <w:p w14:paraId="4E5B1E44" w14:textId="52FE8B10" w:rsidR="005776EE" w:rsidRDefault="005776EE" w:rsidP="00A30EAA">
      <w:pPr>
        <w:pStyle w:val="Body"/>
      </w:pPr>
      <w:r>
        <w:t>The collection of sensitive information generally requires consent</w:t>
      </w:r>
      <w:r w:rsidR="00247260">
        <w:t xml:space="preserve"> from the individual concerned</w:t>
      </w:r>
      <w:r>
        <w:t>, unless an exception applies</w:t>
      </w:r>
      <w:r w:rsidR="006D6482">
        <w:rPr>
          <w:rStyle w:val="FootnoteReference"/>
        </w:rPr>
        <w:footnoteReference w:id="26"/>
      </w:r>
      <w:r w:rsidR="00B00E78">
        <w:t xml:space="preserve"> </w:t>
      </w:r>
      <w:r>
        <w:t>(such as collection required by law for AML/CTF purposes where politically exposed person status must be determined).</w:t>
      </w:r>
    </w:p>
    <w:p w14:paraId="04F7395E" w14:textId="34EF64FB" w:rsidR="00C27E8A" w:rsidRDefault="00C27E8A" w:rsidP="00A30EAA">
      <w:pPr>
        <w:pStyle w:val="Body"/>
      </w:pPr>
      <w:r>
        <w:t xml:space="preserve">Law firms may hold sensitive information without consent </w:t>
      </w:r>
      <w:r w:rsidR="001222ED">
        <w:t>of the person to whom it relates if an exception applies</w:t>
      </w:r>
      <w:r w:rsidR="00320CA7">
        <w:rPr>
          <w:rStyle w:val="FootnoteReference"/>
        </w:rPr>
        <w:footnoteReference w:id="27"/>
      </w:r>
      <w:r w:rsidR="001222ED">
        <w:t xml:space="preserve">. The most common exception is </w:t>
      </w:r>
      <w:r w:rsidR="00B44D5B">
        <w:t>necessity to establish legal claims or to comply with the law.</w:t>
      </w:r>
      <w:r w:rsidR="00353341">
        <w:t xml:space="preserve"> </w:t>
      </w:r>
    </w:p>
    <w:p w14:paraId="18A4FBA2" w14:textId="79C4744E" w:rsidR="005776EE" w:rsidRDefault="005776EE" w:rsidP="00A30EAA">
      <w:pPr>
        <w:pStyle w:val="NumberedHeading2"/>
      </w:pPr>
      <w:bookmarkStart w:id="57" w:name="_Toc220069851"/>
      <w:bookmarkStart w:id="58" w:name="_Toc220655060"/>
      <w:bookmarkStart w:id="59" w:name="_Toc231895145"/>
      <w:r>
        <w:t>The Australian Privacy Principles</w:t>
      </w:r>
      <w:bookmarkEnd w:id="57"/>
      <w:bookmarkEnd w:id="58"/>
      <w:bookmarkEnd w:id="59"/>
    </w:p>
    <w:p w14:paraId="0C564308" w14:textId="77777777" w:rsidR="005776EE" w:rsidRDefault="005776EE" w:rsidP="00A30EAA">
      <w:pPr>
        <w:pStyle w:val="Body"/>
      </w:pPr>
      <w:r>
        <w:t>The Australian Privacy Principles (APPs) are contained in Schedule 1 to the Privacy Act.</w:t>
      </w:r>
      <w:r>
        <w:rPr>
          <w:rStyle w:val="FootnoteReference"/>
        </w:rPr>
        <w:footnoteReference w:id="28"/>
      </w:r>
      <w:r>
        <w:t xml:space="preserve"> There are 13 APPs covering the complete lifecycle of personal information: how it may be collected, what must be disclosed about its collection, how it may be used and disclosed, how it must be kept accurate and secure, and what rights individuals have to access and correct their information.</w:t>
      </w:r>
    </w:p>
    <w:p w14:paraId="645640D4" w14:textId="77777777" w:rsidR="005776EE" w:rsidRDefault="005776EE" w:rsidP="00A30EAA">
      <w:pPr>
        <w:pStyle w:val="Body"/>
      </w:pPr>
      <w:r>
        <w:t>The APPs are principles-based rather than prescriptive. They establish outcomes that must be achieved but allow flexibility in how those outcomes are met. Many APP obligations are expressed in terms of 'reasonable steps', which means the steps that are appropriate will depend on the circumstances, including the size and resources of the entity, the amount and sensitivity of the information held, and the possible adverse consequences of a privacy breach.</w:t>
      </w:r>
      <w:r>
        <w:rPr>
          <w:rStyle w:val="FootnoteReference"/>
        </w:rPr>
        <w:footnoteReference w:id="29"/>
      </w:r>
    </w:p>
    <w:p w14:paraId="5C01E453" w14:textId="77777777" w:rsidR="005776EE" w:rsidRDefault="005776EE" w:rsidP="00A30EAA">
      <w:pPr>
        <w:pStyle w:val="Body"/>
      </w:pPr>
      <w:r>
        <w:t>The 13 APPs may be grouped into five categories:</w:t>
      </w:r>
    </w:p>
    <w:tbl>
      <w:tblPr>
        <w:tblW w:w="5000" w:type="pct"/>
        <w:tblCellMar>
          <w:left w:w="10" w:type="dxa"/>
          <w:right w:w="10" w:type="dxa"/>
        </w:tblCellMar>
        <w:tblLook w:val="04A0" w:firstRow="1" w:lastRow="0" w:firstColumn="1" w:lastColumn="0" w:noHBand="0" w:noVBand="1"/>
      </w:tblPr>
      <w:tblGrid>
        <w:gridCol w:w="2200"/>
        <w:gridCol w:w="6826"/>
      </w:tblGrid>
      <w:tr w:rsidR="005776EE" w14:paraId="7B958CAD" w14:textId="77777777" w:rsidTr="000E1801">
        <w:trPr>
          <w:trHeight w:val="95"/>
        </w:trPr>
        <w:tc>
          <w:tcPr>
            <w:tcW w:w="2200" w:type="dxa"/>
            <w:shd w:val="clear" w:color="auto" w:fill="0F2D52"/>
            <w:tcMar>
              <w:top w:w="100" w:type="dxa"/>
              <w:left w:w="120" w:type="dxa"/>
              <w:bottom w:w="100" w:type="dxa"/>
              <w:right w:w="120" w:type="dxa"/>
            </w:tcMar>
          </w:tcPr>
          <w:p w14:paraId="4FA11FCA" w14:textId="77777777" w:rsidR="005776EE" w:rsidRDefault="005776EE" w:rsidP="00F447F8">
            <w:pPr>
              <w:pStyle w:val="TableHeading"/>
            </w:pPr>
            <w:r>
              <w:t>Category</w:t>
            </w:r>
          </w:p>
        </w:tc>
        <w:tc>
          <w:tcPr>
            <w:tcW w:w="6826" w:type="dxa"/>
            <w:shd w:val="clear" w:color="auto" w:fill="0F2D52"/>
            <w:tcMar>
              <w:top w:w="100" w:type="dxa"/>
              <w:left w:w="120" w:type="dxa"/>
              <w:bottom w:w="100" w:type="dxa"/>
              <w:right w:w="120" w:type="dxa"/>
            </w:tcMar>
          </w:tcPr>
          <w:p w14:paraId="734D67D7" w14:textId="77777777" w:rsidR="005776EE" w:rsidRDefault="005776EE" w:rsidP="00F447F8">
            <w:pPr>
              <w:pStyle w:val="TableHeading"/>
            </w:pPr>
            <w:r>
              <w:t>APPs and Focus</w:t>
            </w:r>
          </w:p>
        </w:tc>
      </w:tr>
      <w:tr w:rsidR="005776EE" w14:paraId="000ED0AC" w14:textId="77777777" w:rsidTr="000E1801">
        <w:tc>
          <w:tcPr>
            <w:tcW w:w="2200" w:type="dxa"/>
            <w:tcBorders>
              <w:bottom w:val="single" w:sz="4" w:space="0" w:color="auto"/>
            </w:tcBorders>
            <w:tcMar>
              <w:top w:w="100" w:type="dxa"/>
              <w:left w:w="120" w:type="dxa"/>
              <w:bottom w:w="100" w:type="dxa"/>
              <w:right w:w="120" w:type="dxa"/>
            </w:tcMar>
          </w:tcPr>
          <w:p w14:paraId="3342C681" w14:textId="77777777" w:rsidR="005776EE" w:rsidRDefault="005776EE" w:rsidP="00F447F8">
            <w:pPr>
              <w:pStyle w:val="Tablecontent"/>
            </w:pPr>
            <w:r>
              <w:t>Governance</w:t>
            </w:r>
          </w:p>
        </w:tc>
        <w:tc>
          <w:tcPr>
            <w:tcW w:w="6826" w:type="dxa"/>
            <w:tcBorders>
              <w:bottom w:val="single" w:sz="4" w:space="0" w:color="auto"/>
            </w:tcBorders>
            <w:tcMar>
              <w:top w:w="100" w:type="dxa"/>
              <w:left w:w="120" w:type="dxa"/>
              <w:bottom w:w="100" w:type="dxa"/>
              <w:right w:w="120" w:type="dxa"/>
            </w:tcMar>
          </w:tcPr>
          <w:p w14:paraId="23C60DDE" w14:textId="73385947" w:rsidR="005776EE" w:rsidRDefault="005776EE" w:rsidP="00F447F8">
            <w:pPr>
              <w:pStyle w:val="Tablecontent"/>
            </w:pPr>
            <w:r>
              <w:t>APP 1 (open and transparent management) establishes the foundation: privacy policies, practices, procedures and systems</w:t>
            </w:r>
          </w:p>
        </w:tc>
      </w:tr>
      <w:tr w:rsidR="005776EE" w14:paraId="3AB7A43A" w14:textId="77777777" w:rsidTr="000E1801">
        <w:tc>
          <w:tcPr>
            <w:tcW w:w="2200" w:type="dxa"/>
            <w:tcBorders>
              <w:top w:val="single" w:sz="4" w:space="0" w:color="auto"/>
              <w:bottom w:val="single" w:sz="4" w:space="0" w:color="auto"/>
            </w:tcBorders>
            <w:tcMar>
              <w:top w:w="100" w:type="dxa"/>
              <w:left w:w="120" w:type="dxa"/>
              <w:bottom w:w="100" w:type="dxa"/>
              <w:right w:w="120" w:type="dxa"/>
            </w:tcMar>
          </w:tcPr>
          <w:p w14:paraId="536813DA" w14:textId="77777777" w:rsidR="005776EE" w:rsidRDefault="005776EE" w:rsidP="00F447F8">
            <w:pPr>
              <w:pStyle w:val="Tablecontent"/>
            </w:pPr>
            <w:r>
              <w:t>Collection</w:t>
            </w:r>
          </w:p>
        </w:tc>
        <w:tc>
          <w:tcPr>
            <w:tcW w:w="6826" w:type="dxa"/>
            <w:tcBorders>
              <w:top w:val="single" w:sz="4" w:space="0" w:color="auto"/>
              <w:bottom w:val="single" w:sz="4" w:space="0" w:color="auto"/>
            </w:tcBorders>
            <w:tcMar>
              <w:top w:w="100" w:type="dxa"/>
              <w:left w:w="120" w:type="dxa"/>
              <w:bottom w:w="100" w:type="dxa"/>
              <w:right w:w="120" w:type="dxa"/>
            </w:tcMar>
          </w:tcPr>
          <w:p w14:paraId="5ACE62F8" w14:textId="53C5E750" w:rsidR="005776EE" w:rsidRDefault="005776EE" w:rsidP="00F447F8">
            <w:pPr>
              <w:pStyle w:val="Tablecontent"/>
            </w:pPr>
            <w:r>
              <w:t>APPs 2-5 (anonymity, solicited collection, unsolicited collection, notification) govern how personal information may be collected and what individuals must be told</w:t>
            </w:r>
          </w:p>
        </w:tc>
      </w:tr>
      <w:tr w:rsidR="005776EE" w14:paraId="642D5A4C" w14:textId="77777777" w:rsidTr="000E1801">
        <w:tc>
          <w:tcPr>
            <w:tcW w:w="2200" w:type="dxa"/>
            <w:tcBorders>
              <w:top w:val="single" w:sz="4" w:space="0" w:color="auto"/>
              <w:bottom w:val="single" w:sz="4" w:space="0" w:color="auto"/>
            </w:tcBorders>
            <w:tcMar>
              <w:top w:w="100" w:type="dxa"/>
              <w:left w:w="120" w:type="dxa"/>
              <w:bottom w:w="100" w:type="dxa"/>
              <w:right w:w="120" w:type="dxa"/>
            </w:tcMar>
          </w:tcPr>
          <w:p w14:paraId="322420A2" w14:textId="77777777" w:rsidR="005776EE" w:rsidRDefault="005776EE" w:rsidP="00F447F8">
            <w:pPr>
              <w:pStyle w:val="Tablecontent"/>
            </w:pPr>
            <w:r>
              <w:t>Use and Disclosure</w:t>
            </w:r>
          </w:p>
        </w:tc>
        <w:tc>
          <w:tcPr>
            <w:tcW w:w="6826" w:type="dxa"/>
            <w:tcBorders>
              <w:top w:val="single" w:sz="4" w:space="0" w:color="auto"/>
              <w:bottom w:val="single" w:sz="4" w:space="0" w:color="auto"/>
            </w:tcBorders>
            <w:tcMar>
              <w:top w:w="100" w:type="dxa"/>
              <w:left w:w="120" w:type="dxa"/>
              <w:bottom w:w="100" w:type="dxa"/>
              <w:right w:w="120" w:type="dxa"/>
            </w:tcMar>
          </w:tcPr>
          <w:p w14:paraId="2F04BF58" w14:textId="6A47BEE7" w:rsidR="005776EE" w:rsidRDefault="005776EE" w:rsidP="00F447F8">
            <w:pPr>
              <w:pStyle w:val="Tablecontent"/>
            </w:pPr>
            <w:r>
              <w:t>APPs 6-9 (use/disclosure, direct marketing, cross-border disclosure, government identifiers) govern how information may be used and shared</w:t>
            </w:r>
          </w:p>
        </w:tc>
      </w:tr>
      <w:tr w:rsidR="005776EE" w14:paraId="7C0DB18E" w14:textId="77777777" w:rsidTr="000E1801">
        <w:tc>
          <w:tcPr>
            <w:tcW w:w="2200" w:type="dxa"/>
            <w:tcBorders>
              <w:top w:val="single" w:sz="4" w:space="0" w:color="auto"/>
              <w:bottom w:val="single" w:sz="4" w:space="0" w:color="auto"/>
            </w:tcBorders>
            <w:tcMar>
              <w:top w:w="100" w:type="dxa"/>
              <w:left w:w="120" w:type="dxa"/>
              <w:bottom w:w="100" w:type="dxa"/>
              <w:right w:w="120" w:type="dxa"/>
            </w:tcMar>
          </w:tcPr>
          <w:p w14:paraId="3AEE12D1" w14:textId="77777777" w:rsidR="005776EE" w:rsidRDefault="005776EE" w:rsidP="00F447F8">
            <w:pPr>
              <w:pStyle w:val="Tablecontent"/>
            </w:pPr>
            <w:r>
              <w:lastRenderedPageBreak/>
              <w:t>Data Quality and Security</w:t>
            </w:r>
          </w:p>
        </w:tc>
        <w:tc>
          <w:tcPr>
            <w:tcW w:w="6826" w:type="dxa"/>
            <w:tcBorders>
              <w:top w:val="single" w:sz="4" w:space="0" w:color="auto"/>
              <w:bottom w:val="single" w:sz="4" w:space="0" w:color="auto"/>
            </w:tcBorders>
            <w:tcMar>
              <w:top w:w="100" w:type="dxa"/>
              <w:left w:w="120" w:type="dxa"/>
              <w:bottom w:w="100" w:type="dxa"/>
              <w:right w:w="120" w:type="dxa"/>
            </w:tcMar>
          </w:tcPr>
          <w:p w14:paraId="5A54A368" w14:textId="5D7391C3" w:rsidR="005776EE" w:rsidRDefault="005776EE" w:rsidP="00F447F8">
            <w:pPr>
              <w:pStyle w:val="Tablecontent"/>
            </w:pPr>
            <w:r>
              <w:t>APPs 10-11 (quality, security) require information to be accurate and protected</w:t>
            </w:r>
          </w:p>
        </w:tc>
      </w:tr>
      <w:tr w:rsidR="005776EE" w14:paraId="17307250" w14:textId="77777777" w:rsidTr="000E1801">
        <w:tc>
          <w:tcPr>
            <w:tcW w:w="2200" w:type="dxa"/>
            <w:tcBorders>
              <w:top w:val="single" w:sz="4" w:space="0" w:color="auto"/>
              <w:bottom w:val="single" w:sz="4" w:space="0" w:color="auto"/>
            </w:tcBorders>
            <w:tcMar>
              <w:top w:w="100" w:type="dxa"/>
              <w:left w:w="120" w:type="dxa"/>
              <w:bottom w:w="100" w:type="dxa"/>
              <w:right w:w="120" w:type="dxa"/>
            </w:tcMar>
          </w:tcPr>
          <w:p w14:paraId="3461A08E" w14:textId="77777777" w:rsidR="005776EE" w:rsidRDefault="005776EE" w:rsidP="00F447F8">
            <w:pPr>
              <w:pStyle w:val="Tablecontent"/>
            </w:pPr>
            <w:r>
              <w:t>Individual Rights</w:t>
            </w:r>
          </w:p>
        </w:tc>
        <w:tc>
          <w:tcPr>
            <w:tcW w:w="6826" w:type="dxa"/>
            <w:tcBorders>
              <w:top w:val="single" w:sz="4" w:space="0" w:color="auto"/>
              <w:bottom w:val="single" w:sz="4" w:space="0" w:color="auto"/>
            </w:tcBorders>
            <w:tcMar>
              <w:top w:w="100" w:type="dxa"/>
              <w:left w:w="120" w:type="dxa"/>
              <w:bottom w:w="100" w:type="dxa"/>
              <w:right w:w="120" w:type="dxa"/>
            </w:tcMar>
          </w:tcPr>
          <w:p w14:paraId="205926C1" w14:textId="35ABCA9F" w:rsidR="005776EE" w:rsidRDefault="005776EE" w:rsidP="00F447F8">
            <w:pPr>
              <w:pStyle w:val="Tablecontent"/>
            </w:pPr>
            <w:r>
              <w:t>APPs 12-13 (access, correction) give individuals</w:t>
            </w:r>
            <w:r w:rsidR="000F4C3B">
              <w:t xml:space="preserve"> (including non-clients)</w:t>
            </w:r>
            <w:r>
              <w:t xml:space="preserve"> rights to see and correct their information</w:t>
            </w:r>
          </w:p>
        </w:tc>
      </w:tr>
    </w:tbl>
    <w:p w14:paraId="25C0228C" w14:textId="1A9E2F65" w:rsidR="005776EE" w:rsidRDefault="005776EE" w:rsidP="00A30EAA">
      <w:pPr>
        <w:pStyle w:val="Body"/>
      </w:pPr>
      <w:r>
        <w:t xml:space="preserve">Detailed guidance on each APP is provided in the OAIC's APP Guidelines, which should be consulted when questions arise about specific obligations. </w:t>
      </w:r>
      <w:r w:rsidR="00AD5902">
        <w:t xml:space="preserve">See </w:t>
      </w:r>
      <w:r w:rsidR="000F4C3B">
        <w:t xml:space="preserve">also </w:t>
      </w:r>
      <w:r w:rsidR="00907C24">
        <w:fldChar w:fldCharType="begin"/>
      </w:r>
      <w:r w:rsidR="00907C24">
        <w:instrText xml:space="preserve"> REF _Ref227319975 \h </w:instrText>
      </w:r>
      <w:r w:rsidR="00F447F8">
        <w:instrText xml:space="preserve"> \* MERGEFORMAT </w:instrText>
      </w:r>
      <w:r w:rsidR="00907C24">
        <w:fldChar w:fldCharType="separate"/>
      </w:r>
      <w:r w:rsidR="004008EB">
        <w:t>Chapter 8: APPs Most Relevant to Law Firms</w:t>
      </w:r>
      <w:r w:rsidR="00907C24">
        <w:fldChar w:fldCharType="end"/>
      </w:r>
      <w:r>
        <w:t>.</w:t>
      </w:r>
    </w:p>
    <w:p w14:paraId="23F1A304" w14:textId="77777777" w:rsidR="00EB4FD6" w:rsidRDefault="00EB4FD6">
      <w:pPr>
        <w:spacing w:after="0"/>
        <w:rPr>
          <w:b/>
          <w:color w:val="0F2D52"/>
          <w:sz w:val="28"/>
        </w:rPr>
      </w:pPr>
      <w:bookmarkStart w:id="60" w:name="_Toc220069852"/>
      <w:bookmarkStart w:id="61" w:name="_Toc220655061"/>
      <w:r>
        <w:br w:type="page"/>
      </w:r>
    </w:p>
    <w:p w14:paraId="56FA1453" w14:textId="19491685" w:rsidR="005776EE" w:rsidRDefault="005776EE" w:rsidP="00A30EAA">
      <w:pPr>
        <w:pStyle w:val="NumberedHeading2"/>
      </w:pPr>
      <w:bookmarkStart w:id="62" w:name="_Toc231895146"/>
      <w:r>
        <w:lastRenderedPageBreak/>
        <w:t>The Notifiable Data Breaches Scheme</w:t>
      </w:r>
      <w:bookmarkEnd w:id="60"/>
      <w:bookmarkEnd w:id="61"/>
      <w:bookmarkEnd w:id="62"/>
    </w:p>
    <w:p w14:paraId="52EA8839" w14:textId="6C31E827" w:rsidR="005776EE" w:rsidRDefault="005776EE" w:rsidP="00A30EAA">
      <w:pPr>
        <w:pStyle w:val="Body"/>
      </w:pPr>
      <w:r>
        <w:t>Part IIIC of the Privacy Act establishes the Notifiable Data Breaches (NDB) scheme.</w:t>
      </w:r>
      <w:r>
        <w:rPr>
          <w:rStyle w:val="FootnoteReference"/>
        </w:rPr>
        <w:footnoteReference w:id="30"/>
      </w:r>
      <w:r>
        <w:t xml:space="preserve"> Under the NDB scheme, APP entities must notify the OAIC and affected individuals when a data breach occurs that is likely to result in serious harm.</w:t>
      </w:r>
    </w:p>
    <w:p w14:paraId="0A78C4E8" w14:textId="1A88F501" w:rsidR="005776EE" w:rsidRDefault="005776EE" w:rsidP="00A30EAA">
      <w:pPr>
        <w:pStyle w:val="Body"/>
      </w:pPr>
      <w:r>
        <w:t>A data breach occurs when personal information is subject to unauthorised access or disclosure, or is lost in circumstances where unauthorised access or disclosure is likely. An 'eligible data breach'  occurs when a reasonable person would conclude that the breach is likely to result in serious harm to any of the individuals whose information was involved.</w:t>
      </w:r>
    </w:p>
    <w:p w14:paraId="5626B5B9" w14:textId="77777777" w:rsidR="005776EE" w:rsidRDefault="005776EE" w:rsidP="00A30EAA">
      <w:pPr>
        <w:pStyle w:val="Body"/>
      </w:pPr>
      <w:r>
        <w:t>Where an entity suspects an eligible data breach may have occurred, it must conduct an assessment within 30 days. If the assessment confirms an eligible data breach, the entity must notify the OAIC and affected individuals as soon as practicable. The notification must include specific information about the breach and recommendations about steps individuals should take in response.</w:t>
      </w:r>
    </w:p>
    <w:p w14:paraId="08B1A125" w14:textId="77777777" w:rsidR="00F47DE9" w:rsidRDefault="005776EE" w:rsidP="00A30EAA">
      <w:pPr>
        <w:pStyle w:val="Body"/>
      </w:pPr>
      <w:r>
        <w:t>For law firms, data breaches may be particularly serious given the sensitive and confidential nature of legal information. Detailed guidance on breach response is provided in Chapter 17 of this manual, and the Data Breach Response Plan (Document 05 of the toolkit) provides a practical procedure for responding to incidents.</w:t>
      </w:r>
      <w:r w:rsidR="00DF6003">
        <w:t xml:space="preserve"> </w:t>
      </w:r>
    </w:p>
    <w:p w14:paraId="261651F3" w14:textId="1A2EC738" w:rsidR="005776EE" w:rsidRDefault="00DF6003" w:rsidP="00A30EAA">
      <w:pPr>
        <w:pStyle w:val="Body"/>
      </w:pPr>
      <w:r>
        <w:t>It should be noted that</w:t>
      </w:r>
      <w:r w:rsidR="006F3E4D">
        <w:t xml:space="preserve"> while the NDB may only apply to a small subset of information </w:t>
      </w:r>
      <w:r w:rsidR="0033792B">
        <w:t>lost (that collected for AML purposes if a small business)</w:t>
      </w:r>
      <w:r>
        <w:t xml:space="preserve"> our professional obligations </w:t>
      </w:r>
      <w:r w:rsidR="00FC776C">
        <w:t xml:space="preserve">usually </w:t>
      </w:r>
      <w:r>
        <w:t xml:space="preserve">require disclosure of lost and stolen data even if </w:t>
      </w:r>
      <w:r w:rsidR="00FC776C">
        <w:t>the data is not regulated.</w:t>
      </w:r>
    </w:p>
    <w:p w14:paraId="4152A5A7" w14:textId="7C014022" w:rsidR="005776EE" w:rsidRDefault="005776EE" w:rsidP="00A30EAA">
      <w:pPr>
        <w:pStyle w:val="NumberedHeading2"/>
      </w:pPr>
      <w:bookmarkStart w:id="63" w:name="_Toc220069853"/>
      <w:bookmarkStart w:id="64" w:name="_Toc220655062"/>
      <w:bookmarkStart w:id="65" w:name="_Toc231895147"/>
      <w:r>
        <w:t>The AML/CTF Act and Rules</w:t>
      </w:r>
      <w:bookmarkEnd w:id="63"/>
      <w:bookmarkEnd w:id="64"/>
      <w:bookmarkEnd w:id="65"/>
    </w:p>
    <w:p w14:paraId="2248322A" w14:textId="0DA8B7D1" w:rsidR="005776EE" w:rsidRDefault="005776EE" w:rsidP="00973158">
      <w:pPr>
        <w:pStyle w:val="Heading3"/>
      </w:pPr>
      <w:bookmarkStart w:id="66" w:name="_Toc220069854"/>
      <w:r>
        <w:t>Key AML/CTF obligations</w:t>
      </w:r>
      <w:bookmarkEnd w:id="66"/>
      <w:r w:rsidR="005F34C2">
        <w:rPr>
          <w:rStyle w:val="FootnoteReference"/>
        </w:rPr>
        <w:footnoteReference w:id="31"/>
      </w:r>
    </w:p>
    <w:p w14:paraId="46B942CF" w14:textId="056DFFC4" w:rsidR="005776EE" w:rsidRDefault="005776EE" w:rsidP="00A30EAA">
      <w:pPr>
        <w:pStyle w:val="Body"/>
      </w:pPr>
      <w:r>
        <w:t xml:space="preserve">The principal AML/CTF obligations </w:t>
      </w:r>
      <w:r w:rsidR="00271770">
        <w:t>that might lead to collection of regulated information include</w:t>
      </w:r>
      <w:r>
        <w:t>:</w:t>
      </w:r>
    </w:p>
    <w:p w14:paraId="4C44D8F6" w14:textId="58066CA8" w:rsidR="005776EE" w:rsidRDefault="005776EE" w:rsidP="00A30EAA">
      <w:pPr>
        <w:pStyle w:val="Body"/>
      </w:pPr>
      <w:r>
        <w:rPr>
          <w:b/>
          <w:bCs/>
        </w:rPr>
        <w:t xml:space="preserve">Customer due diligence (CDD): </w:t>
      </w:r>
      <w:r>
        <w:t>Reporting entities must identify and verify the identity of customers before providing designated services. This requires collecting personal information including name, date of birth, and address, and verifying that information using reliable documents or electronic verification.</w:t>
      </w:r>
      <w:r>
        <w:rPr>
          <w:rStyle w:val="FootnoteReference"/>
        </w:rPr>
        <w:footnoteReference w:id="32"/>
      </w:r>
      <w:r w:rsidR="00323C26">
        <w:t xml:space="preserve"> Even if you are also undertaking VOI to comply with other obligations (PEXA authorisation, for example) the fact that one of the purposes for which you collect or use the information brings it within the regulatory regime.</w:t>
      </w:r>
      <w:r w:rsidR="00E6006F">
        <w:rPr>
          <w:rStyle w:val="FootnoteReference"/>
        </w:rPr>
        <w:footnoteReference w:id="33"/>
      </w:r>
    </w:p>
    <w:p w14:paraId="08444670" w14:textId="7025A1A0" w:rsidR="005776EE" w:rsidRDefault="005776EE" w:rsidP="00A30EAA">
      <w:pPr>
        <w:pStyle w:val="Body"/>
      </w:pPr>
      <w:r>
        <w:rPr>
          <w:b/>
          <w:bCs/>
        </w:rPr>
        <w:t xml:space="preserve">Beneficial ownership identification: </w:t>
      </w:r>
      <w:r>
        <w:t>For corporate and trust clients, reporting entities must identify beneficial owners</w:t>
      </w:r>
      <w:r w:rsidR="00A30EAA">
        <w:t xml:space="preserve">, </w:t>
      </w:r>
      <w:r>
        <w:t>the individuals who ultimately own or control the entity.</w:t>
      </w:r>
    </w:p>
    <w:p w14:paraId="3E4EEDD6" w14:textId="26C2359F" w:rsidR="005776EE" w:rsidRDefault="005776EE" w:rsidP="00A30EAA">
      <w:pPr>
        <w:pStyle w:val="Body"/>
      </w:pPr>
      <w:r>
        <w:rPr>
          <w:b/>
          <w:bCs/>
        </w:rPr>
        <w:t xml:space="preserve">Ongoing due diligence: </w:t>
      </w:r>
      <w:r>
        <w:t>CDD is not a one-time activity. Reporting entities must monitor customer relationships and keep identification information up to date.</w:t>
      </w:r>
      <w:r w:rsidR="00A7002E">
        <w:t xml:space="preserve"> Records relating to ongoing compliance activities are likely to be to be “for or in relation to AML”</w:t>
      </w:r>
      <w:r w:rsidR="00E74ABE">
        <w:rPr>
          <w:rStyle w:val="FootnoteReference"/>
        </w:rPr>
        <w:footnoteReference w:id="34"/>
      </w:r>
    </w:p>
    <w:p w14:paraId="7506F897" w14:textId="77777777" w:rsidR="005776EE" w:rsidRDefault="005776EE" w:rsidP="00A30EAA">
      <w:pPr>
        <w:pStyle w:val="Body"/>
      </w:pPr>
      <w:r>
        <w:rPr>
          <w:b/>
          <w:bCs/>
        </w:rPr>
        <w:t xml:space="preserve">Record keeping: </w:t>
      </w:r>
      <w:r>
        <w:t>Reporting entities must retain CDD records and transaction records for seven years after the end of the customer relationship or the transaction, whichever is later.</w:t>
      </w:r>
      <w:r>
        <w:rPr>
          <w:rStyle w:val="FootnoteReference"/>
        </w:rPr>
        <w:footnoteReference w:id="35"/>
      </w:r>
    </w:p>
    <w:p w14:paraId="277BAE7F" w14:textId="6491B6C9" w:rsidR="005776EE" w:rsidRDefault="005776EE" w:rsidP="00A30EAA">
      <w:pPr>
        <w:pStyle w:val="Body"/>
      </w:pPr>
      <w:r>
        <w:rPr>
          <w:b/>
          <w:bCs/>
        </w:rPr>
        <w:t xml:space="preserve">Suspicious matter reporting: </w:t>
      </w:r>
      <w:r>
        <w:t xml:space="preserve">Reporting entities must report suspicious matters to AUSTRAC. There are strict prohibitions on 'tipping off' </w:t>
      </w:r>
      <w:r w:rsidR="00A30EAA">
        <w:t xml:space="preserve">, </w:t>
      </w:r>
      <w:r>
        <w:t>informing anyone that a report has been or may be made</w:t>
      </w:r>
      <w:r w:rsidR="00730DEB">
        <w:t>, including clients</w:t>
      </w:r>
      <w:r>
        <w:t>.</w:t>
      </w:r>
      <w:r w:rsidR="004D5ABB">
        <w:t xml:space="preserve"> This requires careful navigation of competing obligations under the AML/CTF regime, Legal Professional Privilege, the Privacy Act and the ASCR. SMR reports are rare. (In NZ on average, only one firm per year makes a SMR).</w:t>
      </w:r>
    </w:p>
    <w:p w14:paraId="0B0D3817" w14:textId="7DC67A1F" w:rsidR="005776EE" w:rsidRDefault="005776EE" w:rsidP="00A30EAA">
      <w:pPr>
        <w:pStyle w:val="Body"/>
      </w:pPr>
      <w:r>
        <w:lastRenderedPageBreak/>
        <w:t xml:space="preserve">The Privacy Act governs </w:t>
      </w:r>
      <w:r w:rsidRPr="00FD7DAC">
        <w:t>how</w:t>
      </w:r>
      <w:r>
        <w:t xml:space="preserve"> that personal information must be handled. Chapter 9 of this manual provides detailed guidance on the interaction between AML/CTF and privacy obligations.</w:t>
      </w:r>
    </w:p>
    <w:p w14:paraId="26CCAB90" w14:textId="77777777" w:rsidR="00EB4FD6" w:rsidRDefault="00EB4FD6">
      <w:pPr>
        <w:spacing w:after="0"/>
        <w:rPr>
          <w:b/>
          <w:color w:val="0F2D52"/>
          <w:sz w:val="28"/>
        </w:rPr>
      </w:pPr>
      <w:bookmarkStart w:id="67" w:name="_Toc220655063"/>
      <w:r>
        <w:br w:type="page"/>
      </w:r>
    </w:p>
    <w:p w14:paraId="152D6E53" w14:textId="08079ADC" w:rsidR="005776EE" w:rsidRDefault="00582798" w:rsidP="00A30EAA">
      <w:pPr>
        <w:pStyle w:val="NumberedHeading2"/>
      </w:pPr>
      <w:bookmarkStart w:id="68" w:name="_Toc231895148"/>
      <w:r>
        <w:lastRenderedPageBreak/>
        <w:t>Professional Obligations</w:t>
      </w:r>
      <w:bookmarkEnd w:id="67"/>
      <w:bookmarkEnd w:id="68"/>
    </w:p>
    <w:p w14:paraId="0AEE20D3" w14:textId="28AA01A1" w:rsidR="005776EE" w:rsidRDefault="005776EE" w:rsidP="00A30EAA">
      <w:pPr>
        <w:pStyle w:val="Body"/>
      </w:pPr>
      <w:r>
        <w:t xml:space="preserve">Queensland solicitors are subject to professional obligations under the </w:t>
      </w:r>
      <w:r>
        <w:rPr>
          <w:i/>
          <w:iCs/>
        </w:rPr>
        <w:t>Legal Profession Act 2007</w:t>
      </w:r>
      <w:r>
        <w:t xml:space="preserve"> (Qld) </w:t>
      </w:r>
      <w:r w:rsidR="002C0D76">
        <w:t>and the Solicitor’s Conduct Rules.</w:t>
      </w:r>
      <w:r>
        <w:t xml:space="preserve"> These obligations operate alongside, and in addition to, statutory privacy obligations.</w:t>
      </w:r>
    </w:p>
    <w:p w14:paraId="6C6DFABE" w14:textId="77777777" w:rsidR="005776EE" w:rsidRDefault="005776EE" w:rsidP="00973158">
      <w:pPr>
        <w:pStyle w:val="Heading3"/>
      </w:pPr>
      <w:bookmarkStart w:id="69" w:name="_Toc220069857"/>
      <w:r>
        <w:t>Confidentiality</w:t>
      </w:r>
      <w:bookmarkEnd w:id="69"/>
    </w:p>
    <w:p w14:paraId="52393EC9" w14:textId="77777777" w:rsidR="005776EE" w:rsidRDefault="005776EE" w:rsidP="00A30EAA">
      <w:pPr>
        <w:pStyle w:val="Body"/>
      </w:pPr>
      <w:r>
        <w:t>Rule 9 of the Australian Solicitors' Conduct Rules imposes a duty of confidentiality. A solicitor must not disclose any information which is confidential to a client and acquired during the client's engagement, except in limited circumstances.</w:t>
      </w:r>
      <w:r>
        <w:rPr>
          <w:rStyle w:val="FootnoteReference"/>
        </w:rPr>
        <w:footnoteReference w:id="36"/>
      </w:r>
      <w:r>
        <w:t xml:space="preserve"> The exceptions include disclosure required or permitted by law, disclosure with the client's consent, and disclosure to prevent serious criminal offences.</w:t>
      </w:r>
      <w:r>
        <w:rPr>
          <w:rStyle w:val="FootnoteReference"/>
        </w:rPr>
        <w:footnoteReference w:id="37"/>
      </w:r>
    </w:p>
    <w:p w14:paraId="792A9748" w14:textId="77777777" w:rsidR="005776EE" w:rsidRDefault="005776EE" w:rsidP="00A30EAA">
      <w:pPr>
        <w:pStyle w:val="Body"/>
      </w:pPr>
      <w:r>
        <w:t>The relationship between confidentiality and privacy obligations is discussed in detail in Chapter 4 of this manual.</w:t>
      </w:r>
    </w:p>
    <w:p w14:paraId="71FAA56E" w14:textId="77777777" w:rsidR="005776EE" w:rsidRDefault="005776EE" w:rsidP="00973158">
      <w:pPr>
        <w:pStyle w:val="Heading3"/>
      </w:pPr>
      <w:bookmarkStart w:id="70" w:name="_Toc220069858"/>
      <w:r>
        <w:t>Trust account obligations</w:t>
      </w:r>
      <w:bookmarkEnd w:id="70"/>
    </w:p>
    <w:p w14:paraId="37A96BF7" w14:textId="77777777" w:rsidR="005776EE" w:rsidRDefault="005776EE" w:rsidP="00A30EAA">
      <w:pPr>
        <w:pStyle w:val="Body"/>
      </w:pPr>
      <w:r>
        <w:t>The Legal Profession Act imposes detailed requirements for the operation of trust accounts, including record-keeping requirements that interact with both privacy and AML/CTF obligations.</w:t>
      </w:r>
      <w:r>
        <w:rPr>
          <w:rStyle w:val="FootnoteReference"/>
        </w:rPr>
        <w:footnoteReference w:id="38"/>
      </w:r>
      <w:r>
        <w:t xml:space="preserve"> Trust account records must be retained for seven years, which aligns with AML/CTF record-keeping requirements.</w:t>
      </w:r>
    </w:p>
    <w:p w14:paraId="799FB812" w14:textId="77777777" w:rsidR="005776EE" w:rsidRDefault="005776EE" w:rsidP="00973158">
      <w:pPr>
        <w:pStyle w:val="Heading3"/>
      </w:pPr>
      <w:bookmarkStart w:id="71" w:name="_Toc220069859"/>
      <w:r>
        <w:t>Professional conduct and discipline</w:t>
      </w:r>
      <w:bookmarkEnd w:id="71"/>
    </w:p>
    <w:p w14:paraId="7F658678" w14:textId="77777777" w:rsidR="005776EE" w:rsidRDefault="005776EE" w:rsidP="00A30EAA">
      <w:pPr>
        <w:pStyle w:val="Body"/>
      </w:pPr>
      <w:r>
        <w:t>Breach of statutory obligations, including privacy obligations, may constitute professional misconduct or unsatisfactory professional conduct under the Legal Profession Act. A solicitor who fails to implement reasonable security measures and suffers a data breach affecting client information may face disciplinary proceedings in addition to regulatory action by the OAIC.</w:t>
      </w:r>
    </w:p>
    <w:p w14:paraId="5A4AC451" w14:textId="69CE760F" w:rsidR="00355C01" w:rsidRPr="000B3F3A" w:rsidRDefault="00355C01" w:rsidP="00A30EAA">
      <w:pPr>
        <w:pStyle w:val="Body"/>
      </w:pPr>
      <w:r w:rsidRPr="000B3F3A">
        <w:t>Legal Professional Privilege (Client Legal Privilege) (“LPP”)</w:t>
      </w:r>
    </w:p>
    <w:p w14:paraId="3A2EC4C7" w14:textId="35E6F59C" w:rsidR="00355C01" w:rsidRDefault="00355C01" w:rsidP="00A30EAA">
      <w:pPr>
        <w:pStyle w:val="Body"/>
      </w:pPr>
      <w:r>
        <w:t>LPP is preserved under the AML/CTF regime although specifics are unclear.</w:t>
      </w:r>
      <w:r w:rsidR="0067171C">
        <w:rPr>
          <w:rStyle w:val="FootnoteReference"/>
        </w:rPr>
        <w:footnoteReference w:id="39"/>
      </w:r>
    </w:p>
    <w:p w14:paraId="2753AE20" w14:textId="52D4AFDE" w:rsidR="00D219DA" w:rsidRPr="00CF1135" w:rsidRDefault="00D219DA" w:rsidP="00660EB6">
      <w:pPr>
        <w:pStyle w:val="Heading3"/>
      </w:pPr>
      <w:bookmarkStart w:id="72" w:name="_Toc229134684"/>
      <w:r w:rsidRPr="00CF1135">
        <w:t>Other</w:t>
      </w:r>
      <w:bookmarkEnd w:id="72"/>
    </w:p>
    <w:p w14:paraId="766894CE" w14:textId="47AE43B4" w:rsidR="00945C54" w:rsidRDefault="00D219DA" w:rsidP="00A30EAA">
      <w:pPr>
        <w:pStyle w:val="Body"/>
      </w:pPr>
      <w:r>
        <w:t>There are a variety of other confidentiality and data security obligations that apply to certain matters. Inspection of some types of subpoena information in the Family Court might require adherence to very detailed undertakings</w:t>
      </w:r>
      <w:r w:rsidR="00135309">
        <w:t xml:space="preserve">, </w:t>
      </w:r>
      <w:r w:rsidR="00EA7670">
        <w:t xml:space="preserve">and notification to the Court if information is lost </w:t>
      </w:r>
      <w:r w:rsidR="00135309">
        <w:t xml:space="preserve">for </w:t>
      </w:r>
      <w:proofErr w:type="spellStart"/>
      <w:r w:rsidR="00135309">
        <w:t>example.</w:t>
      </w:r>
      <w:r w:rsidR="00945C54">
        <w:t>Family</w:t>
      </w:r>
      <w:proofErr w:type="spellEnd"/>
      <w:r w:rsidR="00945C54">
        <w:t xml:space="preserve"> Court and DV proceedings are </w:t>
      </w:r>
      <w:r w:rsidR="00380D59">
        <w:t xml:space="preserve">also </w:t>
      </w:r>
      <w:r w:rsidR="00945C54">
        <w:t>generally confidential under their specific legislation.</w:t>
      </w:r>
    </w:p>
    <w:p w14:paraId="4A7A25F8" w14:textId="3739E29B" w:rsidR="00135309" w:rsidRDefault="00135309" w:rsidP="00A30EAA">
      <w:pPr>
        <w:pStyle w:val="Body"/>
      </w:pPr>
      <w:r>
        <w:t xml:space="preserve">Material acquired through compulsory Court processes, subpoenas and discovery are subject to the “Implied Undertaking / Harman Undertaking” obligation not to use it for a collateral purpose. </w:t>
      </w:r>
      <w:r w:rsidR="000802F6">
        <w:rPr>
          <w:rStyle w:val="FootnoteReference"/>
        </w:rPr>
        <w:footnoteReference w:id="40"/>
      </w:r>
    </w:p>
    <w:p w14:paraId="316A9320" w14:textId="51E53507" w:rsidR="00CF1135" w:rsidRDefault="00CF1135" w:rsidP="00A30EAA">
      <w:pPr>
        <w:pStyle w:val="Body"/>
      </w:pPr>
      <w:r>
        <w:t>Cybersecurity</w:t>
      </w:r>
      <w:r w:rsidR="00152CEB">
        <w:t xml:space="preserve">, </w:t>
      </w:r>
      <w:r>
        <w:t xml:space="preserve">data handling obligations and incident reporting obligations often apply to the users of </w:t>
      </w:r>
      <w:r w:rsidR="00152CEB">
        <w:t>electronic networks, such as Electronic Conveyancing systems, court portals</w:t>
      </w:r>
      <w:r w:rsidR="00F43D9A">
        <w:t xml:space="preserve"> and many tender</w:t>
      </w:r>
      <w:r w:rsidR="002C20DC">
        <w:t>/retainer</w:t>
      </w:r>
      <w:r w:rsidR="00F43D9A">
        <w:t xml:space="preserve"> arrangements with clients will contain specific obligations as well.</w:t>
      </w:r>
      <w:r w:rsidR="002C20DC">
        <w:t xml:space="preserve"> Insurers (Such as Lexon and Chubb) may have </w:t>
      </w:r>
      <w:r w:rsidR="00F7163A">
        <w:t>minimum requirements</w:t>
      </w:r>
      <w:r w:rsidR="00915328">
        <w:t>.</w:t>
      </w:r>
    </w:p>
    <w:p w14:paraId="46C5D135" w14:textId="47204BD0" w:rsidR="002A7D8D" w:rsidRPr="00355C01" w:rsidRDefault="00A4700F" w:rsidP="00A30EAA">
      <w:pPr>
        <w:pStyle w:val="Body"/>
      </w:pPr>
      <w:r>
        <w:t xml:space="preserve">While only the Privacy Act issues are within the scope of this </w:t>
      </w:r>
      <w:r w:rsidR="00F7163A">
        <w:t>compendium</w:t>
      </w:r>
      <w:r>
        <w:t>, it is important to keep other obligations in mind when constructing firm systems and processes.</w:t>
      </w:r>
    </w:p>
    <w:p w14:paraId="33C69D4C" w14:textId="77777777" w:rsidR="00EB4FD6" w:rsidRDefault="00EB4FD6">
      <w:pPr>
        <w:spacing w:after="0"/>
        <w:rPr>
          <w:b/>
          <w:color w:val="0F2D52"/>
          <w:sz w:val="28"/>
        </w:rPr>
      </w:pPr>
      <w:bookmarkStart w:id="73" w:name="_Toc220069860"/>
      <w:bookmarkStart w:id="74" w:name="_Toc220655064"/>
      <w:r>
        <w:br w:type="page"/>
      </w:r>
    </w:p>
    <w:p w14:paraId="74E49437" w14:textId="14DE6B49" w:rsidR="005776EE" w:rsidRDefault="005776EE" w:rsidP="00A30EAA">
      <w:pPr>
        <w:pStyle w:val="NumberedHeading2"/>
      </w:pPr>
      <w:bookmarkStart w:id="75" w:name="_Toc231895149"/>
      <w:r>
        <w:lastRenderedPageBreak/>
        <w:t>The OAIC's Role</w:t>
      </w:r>
      <w:bookmarkEnd w:id="73"/>
      <w:bookmarkEnd w:id="74"/>
      <w:bookmarkEnd w:id="75"/>
    </w:p>
    <w:p w14:paraId="0016EE1B" w14:textId="6D1908E2" w:rsidR="005776EE" w:rsidRDefault="005776EE" w:rsidP="00A30EAA">
      <w:pPr>
        <w:pStyle w:val="Body"/>
      </w:pPr>
      <w:r>
        <w:t xml:space="preserve">The Office of the Australian Information Commissioner (OAIC) is the regulator </w:t>
      </w:r>
      <w:r w:rsidR="00EC4899">
        <w:t xml:space="preserve">primarily </w:t>
      </w:r>
      <w:r>
        <w:t>responsible for privacy in Australia. The OAIC's functions include</w:t>
      </w:r>
      <w:r w:rsidR="00BE7FF0">
        <w:t xml:space="preserve"> guidance, complaints handling</w:t>
      </w:r>
      <w:r w:rsidR="005B35D4">
        <w:rPr>
          <w:rStyle w:val="FootnoteReference"/>
        </w:rPr>
        <w:footnoteReference w:id="41"/>
      </w:r>
      <w:r w:rsidR="00BE7FF0">
        <w:t>, investigations</w:t>
      </w:r>
      <w:r w:rsidR="005B35D4">
        <w:rPr>
          <w:rStyle w:val="FootnoteReference"/>
        </w:rPr>
        <w:footnoteReference w:id="42"/>
      </w:r>
      <w:r w:rsidR="00BE7FF0">
        <w:t xml:space="preserve"> and enforcement. They also administer the </w:t>
      </w:r>
      <w:r w:rsidR="005B35D4">
        <w:t>NDB scheme.</w:t>
      </w:r>
      <w:r>
        <w:rPr>
          <w:rStyle w:val="FootnoteReference"/>
        </w:rPr>
        <w:footnoteReference w:id="43"/>
      </w:r>
      <w:r w:rsidR="00EC4899">
        <w:t xml:space="preserve"> However, multiple regulators may be involved. </w:t>
      </w:r>
    </w:p>
    <w:tbl>
      <w:tblPr>
        <w:tblW w:w="0" w:type="auto"/>
        <w:tblLayout w:type="fixed"/>
        <w:tblCellMar>
          <w:left w:w="10" w:type="dxa"/>
          <w:right w:w="10" w:type="dxa"/>
        </w:tblCellMar>
        <w:tblLook w:val="04A0" w:firstRow="1" w:lastRow="0" w:firstColumn="1" w:lastColumn="0" w:noHBand="0" w:noVBand="1"/>
      </w:tblPr>
      <w:tblGrid>
        <w:gridCol w:w="9026"/>
      </w:tblGrid>
      <w:tr w:rsidR="005776EE" w14:paraId="22A53C77" w14:textId="77777777" w:rsidTr="00F447F8">
        <w:tc>
          <w:tcPr>
            <w:tcW w:w="9026" w:type="dxa"/>
            <w:shd w:val="clear" w:color="auto" w:fill="E7F3FE"/>
            <w:tcMar>
              <w:top w:w="160" w:type="dxa"/>
              <w:left w:w="200" w:type="dxa"/>
              <w:bottom w:w="160" w:type="dxa"/>
              <w:right w:w="200" w:type="dxa"/>
            </w:tcMar>
          </w:tcPr>
          <w:p w14:paraId="006E354F" w14:textId="77777777" w:rsidR="005776EE" w:rsidRPr="00EC4899" w:rsidRDefault="005776EE" w:rsidP="00A30EAA">
            <w:pPr>
              <w:pStyle w:val="Body"/>
            </w:pPr>
            <w:r w:rsidRPr="00EC4899">
              <w:t>Key Point: Multiple Regulators</w:t>
            </w:r>
          </w:p>
          <w:p w14:paraId="1EFFDA9D" w14:textId="77777777" w:rsidR="005776EE" w:rsidRDefault="005776EE" w:rsidP="00A30EAA">
            <w:pPr>
              <w:pStyle w:val="Body"/>
            </w:pPr>
            <w:r>
              <w:t>Law firms providing designated services from 1 July 2026 will be subject to oversight by multiple regulators:</w:t>
            </w:r>
          </w:p>
          <w:p w14:paraId="58727461" w14:textId="451E3787" w:rsidR="005776EE" w:rsidRDefault="005776EE" w:rsidP="00A30EAA">
            <w:pPr>
              <w:pStyle w:val="ListParagraph"/>
            </w:pPr>
            <w:r>
              <w:t>OAIC for privacy compliance under the Privacy Act</w:t>
            </w:r>
          </w:p>
          <w:p w14:paraId="39E78D2F" w14:textId="33450F35" w:rsidR="005776EE" w:rsidRDefault="005776EE" w:rsidP="00A30EAA">
            <w:pPr>
              <w:pStyle w:val="ListParagraph"/>
            </w:pPr>
            <w:r>
              <w:t>AUSTRAC for AML/CTF compliance</w:t>
            </w:r>
            <w:r w:rsidR="00EC4899">
              <w:t xml:space="preserve"> and record keeping</w:t>
            </w:r>
          </w:p>
          <w:p w14:paraId="03202170" w14:textId="0CDDAF5A" w:rsidR="005776EE" w:rsidRDefault="005776EE" w:rsidP="00A30EAA">
            <w:pPr>
              <w:pStyle w:val="ListParagraph"/>
            </w:pPr>
            <w:r>
              <w:t xml:space="preserve">Legal Services Commission / </w:t>
            </w:r>
            <w:r w:rsidR="00A851DC">
              <w:t>Law Society or Institute</w:t>
            </w:r>
            <w:r w:rsidR="00EA7670">
              <w:t>, Courts</w:t>
            </w:r>
            <w:r>
              <w:t xml:space="preserve"> — for professional conduct</w:t>
            </w:r>
          </w:p>
          <w:p w14:paraId="02AF859B" w14:textId="77777777" w:rsidR="005776EE" w:rsidRDefault="005776EE" w:rsidP="00A30EAA">
            <w:pPr>
              <w:pStyle w:val="Body"/>
            </w:pPr>
            <w:r>
              <w:t>Compliance frameworks should be designed to meet all applicable obligations concurrently.</w:t>
            </w:r>
          </w:p>
        </w:tc>
      </w:tr>
    </w:tbl>
    <w:p w14:paraId="380D71B3" w14:textId="77777777" w:rsidR="005776EE" w:rsidRDefault="005776EE" w:rsidP="00973158">
      <w:r>
        <w:br w:type="page"/>
      </w:r>
    </w:p>
    <w:p w14:paraId="2269F8D6" w14:textId="77777777" w:rsidR="00F447F8" w:rsidRPr="00F447F8" w:rsidRDefault="00F447F8" w:rsidP="00AB13FF">
      <w:pPr>
        <w:pStyle w:val="Header"/>
      </w:pPr>
      <w:bookmarkStart w:id="76" w:name="_Toc231895150"/>
      <w:r w:rsidRPr="00F447F8">
        <w:lastRenderedPageBreak/>
        <w:t>PART B</w:t>
      </w:r>
      <w:bookmarkEnd w:id="76"/>
    </w:p>
    <w:p w14:paraId="270DB218" w14:textId="77777777" w:rsidR="00F447F8" w:rsidRDefault="00F447F8" w:rsidP="00A30EAA">
      <w:pPr>
        <w:pStyle w:val="Header2"/>
      </w:pPr>
      <w:bookmarkStart w:id="77" w:name="_Toc231895151"/>
      <w:r w:rsidRPr="00A30EAA">
        <w:t>FROM</w:t>
      </w:r>
      <w:r w:rsidRPr="00F447F8">
        <w:t xml:space="preserve"> OBSERVING CONFIDENTIALITY </w:t>
      </w:r>
      <w:r>
        <w:br/>
      </w:r>
      <w:r w:rsidRPr="00F447F8">
        <w:t>TO PRIVACY COMPLIANCE</w:t>
      </w:r>
      <w:bookmarkEnd w:id="77"/>
      <w:r w:rsidRPr="00F447F8">
        <w:t xml:space="preserve"> </w:t>
      </w:r>
      <w:bookmarkStart w:id="78" w:name="_Toc220069861"/>
      <w:bookmarkStart w:id="79" w:name="_Toc220655065"/>
    </w:p>
    <w:p w14:paraId="29AF018D" w14:textId="49E61645" w:rsidR="005776EE" w:rsidRDefault="005776EE" w:rsidP="00A82687">
      <w:pPr>
        <w:pStyle w:val="NumberedHeading1"/>
      </w:pPr>
      <w:bookmarkStart w:id="80" w:name="_Toc231895152"/>
      <w:r>
        <w:t>Confidentiality vs Privacy — Key Distinctions</w:t>
      </w:r>
      <w:bookmarkEnd w:id="78"/>
      <w:bookmarkEnd w:id="79"/>
      <w:bookmarkEnd w:id="80"/>
    </w:p>
    <w:p w14:paraId="39DB3466" w14:textId="60637761" w:rsidR="005776EE" w:rsidRDefault="001B215A" w:rsidP="00A30EAA">
      <w:pPr>
        <w:pStyle w:val="Body"/>
      </w:pPr>
      <w:r>
        <w:t xml:space="preserve">Confidentiality is hardwired into a Law Firm’s DNA. </w:t>
      </w:r>
      <w:r w:rsidR="003147B0">
        <w:t>C</w:t>
      </w:r>
      <w:r w:rsidR="005776EE">
        <w:t>onfidentiality and privacy, while related, are distinct concepts with different sources, scope, and practical requirements.</w:t>
      </w:r>
    </w:p>
    <w:p w14:paraId="2975ED0C" w14:textId="04055914" w:rsidR="005776EE" w:rsidRDefault="005776EE" w:rsidP="00A30EAA">
      <w:pPr>
        <w:pStyle w:val="NumberedHeading2"/>
      </w:pPr>
      <w:bookmarkStart w:id="81" w:name="_Toc220069862"/>
      <w:bookmarkStart w:id="82" w:name="_Toc220655066"/>
      <w:bookmarkStart w:id="83" w:name="_Toc231895153"/>
      <w:r>
        <w:t>The Familiar Territory: Solicitor's Duty of Confidentiality</w:t>
      </w:r>
      <w:bookmarkEnd w:id="81"/>
      <w:bookmarkEnd w:id="82"/>
      <w:bookmarkEnd w:id="83"/>
    </w:p>
    <w:p w14:paraId="405AEB4F" w14:textId="36A3B069" w:rsidR="005776EE" w:rsidRDefault="005776EE" w:rsidP="00A30EAA">
      <w:pPr>
        <w:pStyle w:val="Body"/>
      </w:pPr>
      <w:r>
        <w:t>The duty of confidentiality is fundamental to legal practice. Every solicitor understands that they must not disclose information that is confidential to a client</w:t>
      </w:r>
      <w:r w:rsidR="005C79E3">
        <w:t>, about a client’s matter or acquired through court processes about someone else</w:t>
      </w:r>
      <w:r>
        <w:t xml:space="preserve">. </w:t>
      </w:r>
      <w:r w:rsidR="00ED6B67">
        <w:t xml:space="preserve">These duties arise from professional rules, fiduciary obligations and contractual </w:t>
      </w:r>
      <w:r w:rsidR="006050FF">
        <w:t>agreements.</w:t>
      </w:r>
    </w:p>
    <w:p w14:paraId="0C0BA6FF" w14:textId="70511A74" w:rsidR="005776EE" w:rsidRDefault="00981ADA" w:rsidP="00A30EAA">
      <w:pPr>
        <w:pStyle w:val="NumberedHeading2"/>
      </w:pPr>
      <w:bookmarkStart w:id="84" w:name="_Toc220069868"/>
      <w:bookmarkStart w:id="85" w:name="_Toc220655068"/>
      <w:bookmarkStart w:id="86" w:name="_Toc231895154"/>
      <w:r>
        <w:t xml:space="preserve">New </w:t>
      </w:r>
      <w:r w:rsidR="005776EE">
        <w:t>Privacy Obligations</w:t>
      </w:r>
      <w:bookmarkEnd w:id="84"/>
      <w:bookmarkEnd w:id="85"/>
      <w:bookmarkEnd w:id="86"/>
    </w:p>
    <w:p w14:paraId="3612369D" w14:textId="544D9F4F" w:rsidR="005776EE" w:rsidRDefault="005776EE" w:rsidP="00A30EAA">
      <w:pPr>
        <w:pStyle w:val="Body"/>
      </w:pPr>
      <w:r>
        <w:t>Privacy obligations under the Privacy Act represent a</w:t>
      </w:r>
      <w:r w:rsidR="00B95C78">
        <w:t xml:space="preserve"> d</w:t>
      </w:r>
      <w:r>
        <w:t>istinct layer of obligation that operates alongside confidentiality and privilege. Understanding how privacy differs from confidentiality is essential for Principals implementing compliance frameworks.</w:t>
      </w:r>
    </w:p>
    <w:p w14:paraId="73C604CA" w14:textId="77777777" w:rsidR="005776EE" w:rsidRDefault="005776EE" w:rsidP="00973158">
      <w:pPr>
        <w:pStyle w:val="Heading3"/>
      </w:pPr>
      <w:bookmarkStart w:id="87" w:name="_Toc220069869"/>
      <w:r>
        <w:t>Different scope</w:t>
      </w:r>
      <w:bookmarkEnd w:id="87"/>
    </w:p>
    <w:p w14:paraId="0EB2BED5" w14:textId="66FEE88A" w:rsidR="005776EE" w:rsidRDefault="00DA06D7" w:rsidP="00A30EAA">
      <w:pPr>
        <w:pStyle w:val="Body"/>
      </w:pPr>
      <w:r>
        <w:t xml:space="preserve">As discussed above, </w:t>
      </w:r>
      <w:r w:rsidR="005776EE">
        <w:t xml:space="preserve">Privacy obligations apply to 'personal information' </w:t>
      </w:r>
      <w:r w:rsidR="00A30EAA">
        <w:t xml:space="preserve">, </w:t>
      </w:r>
      <w:r w:rsidR="005776EE">
        <w:t>information about an identified or reasonably identifiable individual</w:t>
      </w:r>
      <w:r>
        <w:t>.</w:t>
      </w:r>
      <w:r w:rsidR="005776EE">
        <w:t xml:space="preserve"> This is broader than 'confidential information' in some respects (it includes information that may not be confidential, such as a client's publicly available business address) but narrower in others (it does not include information about corporations, which may be confidential).</w:t>
      </w:r>
      <w:r w:rsidR="006C00D2">
        <w:t xml:space="preserve"> Where the holder is also a small business only AML related personal information is regulated.</w:t>
      </w:r>
    </w:p>
    <w:p w14:paraId="7A4FB82F" w14:textId="77777777" w:rsidR="005776EE" w:rsidRDefault="005776EE" w:rsidP="00973158">
      <w:pPr>
        <w:pStyle w:val="Heading3"/>
      </w:pPr>
      <w:bookmarkStart w:id="88" w:name="_Toc220069870"/>
      <w:r>
        <w:t>Different focus</w:t>
      </w:r>
      <w:bookmarkEnd w:id="88"/>
    </w:p>
    <w:p w14:paraId="5F59D5DD" w14:textId="77777777" w:rsidR="005776EE" w:rsidRDefault="005776EE" w:rsidP="00A30EAA">
      <w:pPr>
        <w:pStyle w:val="Body"/>
      </w:pPr>
      <w:r>
        <w:t xml:space="preserve">The duty of confidentiality is primarily about </w:t>
      </w:r>
      <w:r>
        <w:rPr>
          <w:i/>
          <w:iCs/>
        </w:rPr>
        <w:t>non-disclosure</w:t>
      </w:r>
      <w:r>
        <w:t xml:space="preserve"> — not revealing information to others. Privacy obligations are broader: they govern the entire lifecycle of information handling, including </w:t>
      </w:r>
      <w:r>
        <w:rPr>
          <w:i/>
          <w:iCs/>
        </w:rPr>
        <w:t>how</w:t>
      </w:r>
      <w:r>
        <w:t xml:space="preserve"> information is collected, </w:t>
      </w:r>
      <w:r>
        <w:rPr>
          <w:i/>
          <w:iCs/>
        </w:rPr>
        <w:t>what</w:t>
      </w:r>
      <w:r>
        <w:t xml:space="preserve"> individuals must be told about its collection, how it must be kept </w:t>
      </w:r>
      <w:r>
        <w:rPr>
          <w:i/>
          <w:iCs/>
        </w:rPr>
        <w:t>secure</w:t>
      </w:r>
      <w:r>
        <w:t xml:space="preserve">, and what </w:t>
      </w:r>
      <w:r>
        <w:rPr>
          <w:i/>
          <w:iCs/>
        </w:rPr>
        <w:t>rights</w:t>
      </w:r>
      <w:r>
        <w:t xml:space="preserve"> individuals have to access and correct it.</w:t>
      </w:r>
    </w:p>
    <w:p w14:paraId="146E639E" w14:textId="77777777" w:rsidR="005776EE" w:rsidRDefault="005776EE" w:rsidP="00973158">
      <w:pPr>
        <w:pStyle w:val="Heading3"/>
      </w:pPr>
      <w:bookmarkStart w:id="89" w:name="_Toc220069871"/>
      <w:r>
        <w:t>Different requirements</w:t>
      </w:r>
      <w:bookmarkEnd w:id="89"/>
    </w:p>
    <w:p w14:paraId="69F06030" w14:textId="77777777" w:rsidR="005776EE" w:rsidRDefault="005776EE" w:rsidP="00A30EAA">
      <w:pPr>
        <w:pStyle w:val="Body"/>
      </w:pPr>
      <w:r>
        <w:t>Privacy compliance requires specific actions that confidentiality does not:</w:t>
      </w:r>
    </w:p>
    <w:p w14:paraId="45A70FB1" w14:textId="77777777" w:rsidR="005776EE" w:rsidRDefault="005776EE" w:rsidP="00A30EAA">
      <w:pPr>
        <w:pStyle w:val="Body"/>
      </w:pPr>
      <w:r>
        <w:rPr>
          <w:b/>
          <w:bCs/>
        </w:rPr>
        <w:t xml:space="preserve">Published privacy policy: </w:t>
      </w:r>
      <w:r>
        <w:t>APP 1 requires a clearly expressed, up-to-date privacy policy that is made available free of charge.</w:t>
      </w:r>
      <w:r>
        <w:rPr>
          <w:rStyle w:val="FootnoteReference"/>
        </w:rPr>
        <w:footnoteReference w:id="44"/>
      </w:r>
      <w:r>
        <w:t xml:space="preserve"> Confidentiality has no equivalent requirement.</w:t>
      </w:r>
    </w:p>
    <w:p w14:paraId="3511D59D" w14:textId="77777777" w:rsidR="005776EE" w:rsidRDefault="005776EE" w:rsidP="00A30EAA">
      <w:pPr>
        <w:pStyle w:val="Body"/>
      </w:pPr>
      <w:r>
        <w:rPr>
          <w:b/>
          <w:bCs/>
        </w:rPr>
        <w:t xml:space="preserve">Collection notices: </w:t>
      </w:r>
      <w:r>
        <w:t>APP 5 requires notification to individuals at or before the time personal information is collected, explaining what is collected and why.</w:t>
      </w:r>
      <w:r>
        <w:rPr>
          <w:rStyle w:val="FootnoteReference"/>
        </w:rPr>
        <w:footnoteReference w:id="45"/>
      </w:r>
      <w:r>
        <w:t xml:space="preserve"> Confidentiality imposes no such notification requirement.</w:t>
      </w:r>
    </w:p>
    <w:p w14:paraId="083CB97C" w14:textId="1C999F56" w:rsidR="005776EE" w:rsidRDefault="005776EE" w:rsidP="00A30EAA">
      <w:pPr>
        <w:pStyle w:val="Body"/>
      </w:pPr>
      <w:r>
        <w:rPr>
          <w:b/>
          <w:bCs/>
        </w:rPr>
        <w:lastRenderedPageBreak/>
        <w:t xml:space="preserve">Access and correction rights: </w:t>
      </w:r>
      <w:r>
        <w:t>APPs 12 and 13 give individuals rights to access personal information held about them and to request correction.</w:t>
      </w:r>
      <w:r>
        <w:rPr>
          <w:rStyle w:val="FootnoteReference"/>
        </w:rPr>
        <w:footnoteReference w:id="46"/>
      </w:r>
      <w:r>
        <w:t xml:space="preserve"> Confidentiality creates no such individual rights</w:t>
      </w:r>
      <w:r w:rsidR="007011F2">
        <w:t>, although clients have access and correction rights arising through other sources</w:t>
      </w:r>
      <w:r>
        <w:t>.</w:t>
      </w:r>
    </w:p>
    <w:p w14:paraId="1CA48E89" w14:textId="174EC54F" w:rsidR="005776EE" w:rsidRDefault="005776EE" w:rsidP="00A30EAA">
      <w:pPr>
        <w:pStyle w:val="Body"/>
      </w:pPr>
      <w:r>
        <w:rPr>
          <w:b/>
          <w:bCs/>
        </w:rPr>
        <w:t xml:space="preserve">Breach notification: </w:t>
      </w:r>
      <w:r>
        <w:t>The NDB scheme requires notification to the OAIC and affected individuals when a serious data breach occurs.</w:t>
      </w:r>
      <w:r>
        <w:rPr>
          <w:rStyle w:val="FootnoteReference"/>
        </w:rPr>
        <w:footnoteReference w:id="47"/>
      </w:r>
      <w:r>
        <w:t xml:space="preserve"> </w:t>
      </w:r>
      <w:r w:rsidR="007F3FFE">
        <w:t>Where a breach of confidentiality has occurred only disclosure to clients is necessarily triggered, although professional duties might require disclosure to courts and counterparties as well</w:t>
      </w:r>
      <w:r>
        <w:t>.</w:t>
      </w:r>
    </w:p>
    <w:p w14:paraId="0B1E039D" w14:textId="4FF0F9E7" w:rsidR="005776EE" w:rsidRDefault="005776EE" w:rsidP="00A30EAA">
      <w:pPr>
        <w:pStyle w:val="NumberedHeading2"/>
      </w:pPr>
      <w:bookmarkStart w:id="90" w:name="_Toc220069873"/>
      <w:bookmarkStart w:id="91" w:name="_Toc220655069"/>
      <w:bookmarkStart w:id="92" w:name="_Toc231895155"/>
      <w:r>
        <w:t>How They Interact in Practice</w:t>
      </w:r>
      <w:bookmarkEnd w:id="90"/>
      <w:bookmarkEnd w:id="91"/>
      <w:bookmarkEnd w:id="92"/>
    </w:p>
    <w:p w14:paraId="197D5B67" w14:textId="1B2956FB" w:rsidR="005776EE" w:rsidRDefault="005776EE" w:rsidP="00A30EAA">
      <w:pPr>
        <w:pStyle w:val="Body"/>
      </w:pPr>
      <w:r>
        <w:t>The three frameworks</w:t>
      </w:r>
      <w:r w:rsidR="00A30EAA">
        <w:t xml:space="preserve">, </w:t>
      </w:r>
      <w:r>
        <w:t>confidentiality, privilege, and privacy</w:t>
      </w:r>
      <w:r w:rsidR="00A30EAA">
        <w:t xml:space="preserve">, </w:t>
      </w:r>
      <w:r>
        <w:t>operate concurrently. Compliance with one does not satisfy the others. A law firm must meet all applicable obligations.</w:t>
      </w:r>
    </w:p>
    <w:p w14:paraId="79284F30" w14:textId="77777777" w:rsidR="005776EE" w:rsidRDefault="005776EE" w:rsidP="00973158">
      <w:pPr>
        <w:pStyle w:val="Heading3"/>
      </w:pPr>
      <w:bookmarkStart w:id="93" w:name="_Toc220069874"/>
      <w:r>
        <w:t>Information that is confidential AND personal information</w:t>
      </w:r>
      <w:bookmarkEnd w:id="93"/>
    </w:p>
    <w:p w14:paraId="1A72DD4D" w14:textId="17D3C991" w:rsidR="005776EE" w:rsidRDefault="005776EE" w:rsidP="00A30EAA">
      <w:pPr>
        <w:pStyle w:val="Body"/>
      </w:pPr>
      <w:r>
        <w:t>Most client information handled by law firms will be both confidential to the client and personal information about an individual. For example, a client's identity documents collected for AML/CTF purposes are confidential (the firm must not disclose them without authority</w:t>
      </w:r>
      <w:r w:rsidR="00E1615E">
        <w:t xml:space="preserve"> or legal necessity</w:t>
      </w:r>
      <w:r>
        <w:t>) and personal information (the APPs govern how they must be handled).</w:t>
      </w:r>
    </w:p>
    <w:p w14:paraId="43A08600" w14:textId="77777777" w:rsidR="005776EE" w:rsidRDefault="005776EE" w:rsidP="00A30EAA">
      <w:pPr>
        <w:pStyle w:val="Body"/>
      </w:pPr>
      <w:r>
        <w:t>For such information, the firm must:</w:t>
      </w:r>
    </w:p>
    <w:p w14:paraId="00417C3B" w14:textId="56D2DD29" w:rsidR="005776EE" w:rsidRDefault="005776EE" w:rsidP="00A30EAA">
      <w:pPr>
        <w:pStyle w:val="ListParagraph"/>
      </w:pPr>
      <w:r>
        <w:t>maintain confidentiality (not disclose without authority</w:t>
      </w:r>
      <w:r w:rsidR="00797FCC">
        <w:t xml:space="preserve"> or lawful reason</w:t>
      </w:r>
      <w:r>
        <w:t>);</w:t>
      </w:r>
    </w:p>
    <w:p w14:paraId="6B4788D2" w14:textId="727B5AD6" w:rsidR="005776EE" w:rsidRDefault="005776EE" w:rsidP="00A30EAA">
      <w:pPr>
        <w:pStyle w:val="ListParagraph"/>
      </w:pPr>
      <w:r>
        <w:t>comply with APP collection requirements (collect only what is necessary, notify of collection);</w:t>
      </w:r>
    </w:p>
    <w:p w14:paraId="3258D2A2" w14:textId="0158C7FF" w:rsidR="005776EE" w:rsidRDefault="005776EE" w:rsidP="00A30EAA">
      <w:pPr>
        <w:pStyle w:val="ListParagraph"/>
      </w:pPr>
      <w:r>
        <w:t>comply with APP use and disclosure requirements;</w:t>
      </w:r>
    </w:p>
    <w:p w14:paraId="149559C3" w14:textId="45FD25AD" w:rsidR="005776EE" w:rsidRDefault="005776EE" w:rsidP="00A30EAA">
      <w:pPr>
        <w:pStyle w:val="ListParagraph"/>
      </w:pPr>
      <w:r>
        <w:t>maintain security (APP 11);</w:t>
      </w:r>
    </w:p>
    <w:p w14:paraId="40A13733" w14:textId="2ED37FA2" w:rsidR="005776EE" w:rsidRDefault="005776EE" w:rsidP="00A30EAA">
      <w:pPr>
        <w:pStyle w:val="ListParagraph"/>
      </w:pPr>
      <w:r>
        <w:t>respond to access and correction requests (APPs 12-13).</w:t>
      </w:r>
    </w:p>
    <w:p w14:paraId="03CF8390" w14:textId="77777777" w:rsidR="005776EE" w:rsidRDefault="005776EE" w:rsidP="00973158">
      <w:pPr>
        <w:pStyle w:val="Heading3"/>
      </w:pPr>
      <w:bookmarkStart w:id="94" w:name="_Toc220069875"/>
      <w:r>
        <w:t>Information that is confidential but NOT personal information</w:t>
      </w:r>
      <w:bookmarkEnd w:id="94"/>
    </w:p>
    <w:p w14:paraId="4AF6CB3B" w14:textId="12F79ACE" w:rsidR="005776EE" w:rsidRDefault="005776EE" w:rsidP="00A30EAA">
      <w:pPr>
        <w:pStyle w:val="Body"/>
      </w:pPr>
      <w:r>
        <w:t>Some client information may be confidential but not personal information</w:t>
      </w:r>
      <w:r w:rsidR="00A30EAA">
        <w:t>. F</w:t>
      </w:r>
      <w:r>
        <w:t>or example, a corporation's commercial strategy or trade secrets. Such information is subject to the duty of confidentiality but not the APPs (since the APPs only apply to information about individuals).</w:t>
      </w:r>
    </w:p>
    <w:p w14:paraId="78DF7ECE" w14:textId="77777777" w:rsidR="005776EE" w:rsidRDefault="005776EE" w:rsidP="00973158">
      <w:pPr>
        <w:pStyle w:val="Heading3"/>
      </w:pPr>
      <w:bookmarkStart w:id="95" w:name="_Toc220069876"/>
      <w:r>
        <w:t>Information that is personal information but NOT confidential</w:t>
      </w:r>
      <w:bookmarkEnd w:id="95"/>
    </w:p>
    <w:p w14:paraId="2A53EE5F" w14:textId="703C3BD8" w:rsidR="00AC6650" w:rsidRDefault="005776EE" w:rsidP="00A30EAA">
      <w:pPr>
        <w:pStyle w:val="Body"/>
      </w:pPr>
      <w:r>
        <w:t>Some personal information may not be confidential</w:t>
      </w:r>
      <w:r w:rsidR="00A30EAA">
        <w:t>. F</w:t>
      </w:r>
      <w:r>
        <w:t>or example, a client's publicly listed business address or information obtained from public registers</w:t>
      </w:r>
      <w:r w:rsidR="0059554B">
        <w:t xml:space="preserve"> (once it has been disclosed that the firm acts for the client)</w:t>
      </w:r>
      <w:r>
        <w:t xml:space="preserve">. </w:t>
      </w:r>
    </w:p>
    <w:p w14:paraId="3110A603" w14:textId="5D79F25E" w:rsidR="005776EE" w:rsidRDefault="005776EE" w:rsidP="00A30EAA">
      <w:pPr>
        <w:pStyle w:val="Body"/>
      </w:pPr>
      <w:r>
        <w:t>The APPs still apply to such information (the firm must still handle it in accordance with the APPs), even though confidentiality obligations may be less stringent.</w:t>
      </w:r>
    </w:p>
    <w:p w14:paraId="100F9037" w14:textId="43071C17" w:rsidR="005C2B7A" w:rsidRDefault="005C2B7A" w:rsidP="00A30EAA">
      <w:pPr>
        <w:pStyle w:val="Body"/>
      </w:pPr>
      <w:r w:rsidRPr="00B7356A">
        <w:rPr>
          <w:i/>
          <w:iCs/>
        </w:rPr>
        <w:t>Reminder</w:t>
      </w:r>
      <w:r>
        <w:t xml:space="preserve">: if your firm is under the annual $3M turnover threshold, only the AML/CTF </w:t>
      </w:r>
      <w:r w:rsidR="00EE67BA">
        <w:t>related information is subject to the Privacy Act. All other confidentiality obligations apply.</w:t>
      </w:r>
    </w:p>
    <w:tbl>
      <w:tblPr>
        <w:tblW w:w="5000" w:type="pct"/>
        <w:tblCellMar>
          <w:left w:w="10" w:type="dxa"/>
          <w:right w:w="10" w:type="dxa"/>
        </w:tblCellMar>
        <w:tblLook w:val="04A0" w:firstRow="1" w:lastRow="0" w:firstColumn="1" w:lastColumn="0" w:noHBand="0" w:noVBand="1"/>
      </w:tblPr>
      <w:tblGrid>
        <w:gridCol w:w="9026"/>
      </w:tblGrid>
      <w:tr w:rsidR="005776EE" w14:paraId="768E576E" w14:textId="77777777" w:rsidTr="00F447F8">
        <w:tc>
          <w:tcPr>
            <w:tcW w:w="9026" w:type="dxa"/>
            <w:shd w:val="clear" w:color="auto" w:fill="FFF3CD"/>
            <w:tcMar>
              <w:top w:w="160" w:type="dxa"/>
              <w:left w:w="200" w:type="dxa"/>
              <w:bottom w:w="160" w:type="dxa"/>
              <w:right w:w="200" w:type="dxa"/>
            </w:tcMar>
          </w:tcPr>
          <w:p w14:paraId="66BDA09F" w14:textId="2976429E" w:rsidR="005776EE" w:rsidRDefault="005776EE" w:rsidP="00A30EAA">
            <w:pPr>
              <w:pStyle w:val="Body"/>
            </w:pPr>
            <w:r>
              <w:t>Key Insight</w:t>
            </w:r>
            <w:r w:rsidR="00CE27F8">
              <w:t>:</w:t>
            </w:r>
          </w:p>
          <w:p w14:paraId="1B94E7C6" w14:textId="77777777" w:rsidR="00CE27F8" w:rsidRDefault="005776EE" w:rsidP="00A30EAA">
            <w:pPr>
              <w:pStyle w:val="Body"/>
            </w:pPr>
            <w:r>
              <w:t xml:space="preserve">A firm that has always maintained strict confidentiality is NOT automatically privacy compliant. </w:t>
            </w:r>
          </w:p>
          <w:p w14:paraId="37003C10" w14:textId="4E27E294" w:rsidR="00CE27F8" w:rsidRDefault="005776EE" w:rsidP="00A30EAA">
            <w:pPr>
              <w:pStyle w:val="Body"/>
            </w:pPr>
            <w:r>
              <w:t xml:space="preserve">Confidentiality focuses on non-disclosure; privacy requires proactive management </w:t>
            </w:r>
            <w:r w:rsidR="00A30EAA">
              <w:t xml:space="preserve">, </w:t>
            </w:r>
            <w:r>
              <w:t xml:space="preserve">telling people what you collect and why (APP 5), giving them access to their information (APP 12), maintaining documented security systems (APP 11), and having a published privacy policy (APP 1). </w:t>
            </w:r>
          </w:p>
          <w:p w14:paraId="13C7E44F" w14:textId="3A8C64B5" w:rsidR="005776EE" w:rsidRDefault="005776EE" w:rsidP="00A30EAA">
            <w:pPr>
              <w:pStyle w:val="Body"/>
            </w:pPr>
            <w:r>
              <w:t>These are new, additional requirements that must be implemented alongside existing confidentiality practices.</w:t>
            </w:r>
          </w:p>
        </w:tc>
      </w:tr>
    </w:tbl>
    <w:p w14:paraId="6F500382" w14:textId="77777777" w:rsidR="001F3BAF" w:rsidRDefault="001F3BAF">
      <w:pPr>
        <w:spacing w:after="0"/>
        <w:rPr>
          <w:b/>
          <w:bCs/>
          <w:iCs/>
          <w:color w:val="0F2D52"/>
          <w:sz w:val="28"/>
          <w:szCs w:val="28"/>
        </w:rPr>
      </w:pPr>
      <w:bookmarkStart w:id="96" w:name="_Toc220069877"/>
      <w:bookmarkStart w:id="97" w:name="_Toc220655070"/>
      <w:r>
        <w:br w:type="page"/>
      </w:r>
    </w:p>
    <w:p w14:paraId="66F57D0B" w14:textId="66ED579B" w:rsidR="005776EE" w:rsidRDefault="005776EE" w:rsidP="00A30EAA">
      <w:pPr>
        <w:pStyle w:val="NumberedHeading2"/>
      </w:pPr>
      <w:bookmarkStart w:id="98" w:name="_Toc231895156"/>
      <w:r>
        <w:lastRenderedPageBreak/>
        <w:t>Practical Implications</w:t>
      </w:r>
      <w:bookmarkEnd w:id="96"/>
      <w:bookmarkEnd w:id="97"/>
      <w:bookmarkEnd w:id="98"/>
    </w:p>
    <w:p w14:paraId="72CB083A" w14:textId="3A56067B" w:rsidR="005776EE" w:rsidRDefault="004C55FA" w:rsidP="00A30EAA">
      <w:pPr>
        <w:pStyle w:val="Body"/>
      </w:pPr>
      <w:r>
        <w:t>Broad c</w:t>
      </w:r>
      <w:r w:rsidR="009B0674">
        <w:t>onceptual alignment</w:t>
      </w:r>
      <w:r w:rsidR="005776EE">
        <w:t>:</w:t>
      </w:r>
    </w:p>
    <w:p w14:paraId="72079539" w14:textId="7F14CE7C" w:rsidR="005776EE" w:rsidRDefault="005776EE" w:rsidP="00973158">
      <w:pPr>
        <w:pStyle w:val="Heading3"/>
      </w:pPr>
      <w:bookmarkStart w:id="99" w:name="_Toc220069878"/>
      <w:r>
        <w:t xml:space="preserve">Confidentiality exceptions align with </w:t>
      </w:r>
      <w:r w:rsidR="004C55FA">
        <w:t>most</w:t>
      </w:r>
      <w:r>
        <w:t xml:space="preserve"> privacy exceptions</w:t>
      </w:r>
      <w:bookmarkEnd w:id="99"/>
    </w:p>
    <w:p w14:paraId="115C8572" w14:textId="77777777" w:rsidR="00C71494" w:rsidRDefault="005776EE" w:rsidP="00A30EAA">
      <w:pPr>
        <w:pStyle w:val="Body"/>
      </w:pPr>
      <w:r>
        <w:t>Both the confidentiality rules and the APPs recognise that disclosure may be required or permitted by law.</w:t>
      </w:r>
      <w:r>
        <w:rPr>
          <w:rStyle w:val="FootnoteReference"/>
        </w:rPr>
        <w:footnoteReference w:id="48"/>
      </w:r>
      <w:r w:rsidR="0039064C">
        <w:t xml:space="preserve"> </w:t>
      </w:r>
      <w:r>
        <w:rPr>
          <w:rStyle w:val="FootnoteReference"/>
        </w:rPr>
        <w:footnoteReference w:id="49"/>
      </w:r>
      <w:r>
        <w:t xml:space="preserve"> This means that disclosures required </w:t>
      </w:r>
      <w:r w:rsidR="000207BE">
        <w:t xml:space="preserve">by law </w:t>
      </w:r>
      <w:r>
        <w:t>under</w:t>
      </w:r>
      <w:r w:rsidR="000207BE">
        <w:t xml:space="preserve"> legislation such as</w:t>
      </w:r>
      <w:r>
        <w:t xml:space="preserve"> the AML/CTF Act (</w:t>
      </w:r>
      <w:proofErr w:type="spellStart"/>
      <w:r w:rsidR="000207BE">
        <w:t>eg</w:t>
      </w:r>
      <w:proofErr w:type="spellEnd"/>
      <w:r w:rsidR="000207BE">
        <w:t>,</w:t>
      </w:r>
      <w:r>
        <w:t xml:space="preserve"> suspicious matter reports to AUSTRAC) are authorised under both frameworks.</w:t>
      </w:r>
      <w:r w:rsidR="007D44E7">
        <w:t xml:space="preserve"> </w:t>
      </w:r>
    </w:p>
    <w:p w14:paraId="27F4AB29" w14:textId="374D8670" w:rsidR="005776EE" w:rsidRDefault="00C71494" w:rsidP="00A30EAA">
      <w:pPr>
        <w:pStyle w:val="Body"/>
      </w:pPr>
      <w:r>
        <w:t>A</w:t>
      </w:r>
      <w:r w:rsidR="00E113FD">
        <w:t xml:space="preserve">s privilege is maintained under </w:t>
      </w:r>
      <w:r w:rsidR="00434CB6">
        <w:t xml:space="preserve">the AML/CTF regime, disclosure of privileged information is not </w:t>
      </w:r>
      <w:r>
        <w:t>required by the legislation and therefore not permitted by the conduct rules</w:t>
      </w:r>
      <w:r w:rsidR="00434CB6">
        <w:t xml:space="preserve">. </w:t>
      </w:r>
    </w:p>
    <w:p w14:paraId="70571CAF" w14:textId="77777777" w:rsidR="005776EE" w:rsidRDefault="005776EE" w:rsidP="00973158">
      <w:pPr>
        <w:pStyle w:val="Heading3"/>
      </w:pPr>
      <w:bookmarkStart w:id="100" w:name="_Toc220069879"/>
      <w:r>
        <w:t>Privacy rights create new obligations</w:t>
      </w:r>
      <w:bookmarkEnd w:id="100"/>
    </w:p>
    <w:p w14:paraId="58F448C7" w14:textId="3B70B8D4" w:rsidR="005776EE" w:rsidRDefault="005776EE" w:rsidP="00A30EAA">
      <w:pPr>
        <w:pStyle w:val="Body"/>
      </w:pPr>
      <w:r>
        <w:t>The individual rights under APPs 12 and 13 (access and correction) create obligations that do not exist under confidentiality law</w:t>
      </w:r>
      <w:r w:rsidR="006679A3">
        <w:t xml:space="preserve"> insofar as they apply to non-clients</w:t>
      </w:r>
      <w:r>
        <w:t>. A firm must have procedures for handling access requests, including within the reasonable timeframes expected by the OAIC.</w:t>
      </w:r>
      <w:r>
        <w:rPr>
          <w:rStyle w:val="FootnoteReference"/>
        </w:rPr>
        <w:footnoteReference w:id="50"/>
      </w:r>
    </w:p>
    <w:p w14:paraId="2E98E704" w14:textId="77777777" w:rsidR="005776EE" w:rsidRDefault="005776EE" w:rsidP="00973158">
      <w:pPr>
        <w:pStyle w:val="Heading3"/>
      </w:pPr>
      <w:bookmarkStart w:id="101" w:name="_Toc220069880"/>
      <w:r>
        <w:t>Documentation is required</w:t>
      </w:r>
      <w:bookmarkEnd w:id="101"/>
    </w:p>
    <w:p w14:paraId="3AE34D6F" w14:textId="77777777" w:rsidR="005776EE" w:rsidRDefault="005776EE" w:rsidP="00A30EAA">
      <w:pPr>
        <w:pStyle w:val="Body"/>
      </w:pPr>
      <w:r>
        <w:t>Privacy compliance requires documentation that confidentiality does not: a published privacy policy, collection notices, security procedures, breach response plans, and records of compliance activities. The toolkit documents accompanying this manual provide templates for this documentation.</w:t>
      </w:r>
    </w:p>
    <w:tbl>
      <w:tblPr>
        <w:tblW w:w="5000" w:type="pct"/>
        <w:tblCellMar>
          <w:left w:w="10" w:type="dxa"/>
          <w:right w:w="10" w:type="dxa"/>
        </w:tblCellMar>
        <w:tblLook w:val="04A0" w:firstRow="1" w:lastRow="0" w:firstColumn="1" w:lastColumn="0" w:noHBand="0" w:noVBand="1"/>
      </w:tblPr>
      <w:tblGrid>
        <w:gridCol w:w="9026"/>
      </w:tblGrid>
      <w:tr w:rsidR="005776EE" w14:paraId="7A4DB259" w14:textId="77777777" w:rsidTr="00F447F8">
        <w:tc>
          <w:tcPr>
            <w:tcW w:w="9024" w:type="dxa"/>
            <w:shd w:val="clear" w:color="auto" w:fill="D4EDDA"/>
            <w:tcMar>
              <w:top w:w="160" w:type="dxa"/>
              <w:left w:w="200" w:type="dxa"/>
              <w:bottom w:w="160" w:type="dxa"/>
              <w:right w:w="200" w:type="dxa"/>
            </w:tcMar>
          </w:tcPr>
          <w:p w14:paraId="489E017C" w14:textId="77777777" w:rsidR="005776EE" w:rsidRDefault="005776EE" w:rsidP="00A30EAA">
            <w:pPr>
              <w:pStyle w:val="Body"/>
            </w:pPr>
            <w:r>
              <w:t>Key Takeaways — Chapter 4</w:t>
            </w:r>
          </w:p>
          <w:p w14:paraId="70ABDF11" w14:textId="77777777" w:rsidR="005776EE" w:rsidRDefault="005776EE" w:rsidP="00A30EAA">
            <w:pPr>
              <w:pStyle w:val="Body"/>
            </w:pPr>
            <w:r>
              <w:t>• Confidentiality, legal professional privilege, and privacy are related but distinct legal concepts with different sources, scopes, and requirements.</w:t>
            </w:r>
          </w:p>
          <w:p w14:paraId="0C997408" w14:textId="77777777" w:rsidR="005776EE" w:rsidRDefault="005776EE" w:rsidP="00A30EAA">
            <w:pPr>
              <w:pStyle w:val="Body"/>
            </w:pPr>
            <w:r>
              <w:t>• Confidentiality focuses on non-disclosure; privacy requires proactive information management throughout the information lifecycle.</w:t>
            </w:r>
          </w:p>
          <w:p w14:paraId="76051D43" w14:textId="77777777" w:rsidR="005776EE" w:rsidRDefault="005776EE" w:rsidP="00A30EAA">
            <w:pPr>
              <w:pStyle w:val="Body"/>
            </w:pPr>
            <w:r>
              <w:t>• Privacy compliance requires documentation (policies, notices, procedures) that confidentiality does not.</w:t>
            </w:r>
          </w:p>
          <w:p w14:paraId="3D4082AF" w14:textId="77777777" w:rsidR="005776EE" w:rsidRDefault="005776EE" w:rsidP="00A30EAA">
            <w:pPr>
              <w:pStyle w:val="Body"/>
            </w:pPr>
            <w:r>
              <w:t>• Privacy creates individual rights (access, correction) that do not exist under confidentiality law.</w:t>
            </w:r>
          </w:p>
          <w:p w14:paraId="6EE24A6A" w14:textId="0BDFD2E7" w:rsidR="005776EE" w:rsidRDefault="005776EE" w:rsidP="00A30EAA">
            <w:pPr>
              <w:pStyle w:val="Body"/>
            </w:pPr>
            <w:r>
              <w:t>• A firm that maintains strict confidentiality is not automatically privacy compliant</w:t>
            </w:r>
            <w:r w:rsidR="00A30EAA">
              <w:t>.</w:t>
            </w:r>
            <w:r>
              <w:t xml:space="preserve"> </w:t>
            </w:r>
            <w:r w:rsidR="00A30EAA">
              <w:t>A</w:t>
            </w:r>
            <w:r>
              <w:t>dditional steps are required.</w:t>
            </w:r>
          </w:p>
        </w:tc>
      </w:tr>
    </w:tbl>
    <w:p w14:paraId="15B1D630" w14:textId="77777777" w:rsidR="001F3BAF" w:rsidRDefault="001F3BAF">
      <w:pPr>
        <w:spacing w:after="0"/>
        <w:rPr>
          <w:b/>
          <w:bCs/>
          <w:color w:val="0F2D52"/>
          <w:kern w:val="32"/>
          <w:sz w:val="32"/>
          <w:szCs w:val="32"/>
        </w:rPr>
      </w:pPr>
      <w:bookmarkStart w:id="102" w:name="_Toc220069882"/>
      <w:bookmarkStart w:id="103" w:name="_Toc220655071"/>
      <w:r>
        <w:br w:type="page"/>
      </w:r>
    </w:p>
    <w:p w14:paraId="4CE1314D" w14:textId="27542FE1" w:rsidR="005776EE" w:rsidRDefault="005776EE" w:rsidP="00A82687">
      <w:pPr>
        <w:pStyle w:val="NumberedHeading1"/>
      </w:pPr>
      <w:bookmarkStart w:id="104" w:name="_Toc231895157"/>
      <w:r>
        <w:lastRenderedPageBreak/>
        <w:t>What Changes for Your Firm</w:t>
      </w:r>
      <w:bookmarkEnd w:id="102"/>
      <w:bookmarkEnd w:id="103"/>
      <w:bookmarkEnd w:id="104"/>
    </w:p>
    <w:p w14:paraId="409E43DD" w14:textId="77777777" w:rsidR="00AE481D" w:rsidRDefault="005776EE" w:rsidP="00A30EAA">
      <w:pPr>
        <w:pStyle w:val="Body"/>
      </w:pPr>
      <w:r>
        <w:t xml:space="preserve">Chapter 4 explained the conceptual distinction between confidentiality and privacy. </w:t>
      </w:r>
    </w:p>
    <w:p w14:paraId="762D25DF" w14:textId="3E3CE15B" w:rsidR="005776EE" w:rsidRDefault="005776EE" w:rsidP="00A30EAA">
      <w:pPr>
        <w:pStyle w:val="Body"/>
      </w:pPr>
      <w:r>
        <w:t>This chapter turns to practical matters: what specific new requirements will your firm need to implement? Understanding these changes is essential for planning your compliance program and allocating appropriate resources.</w:t>
      </w:r>
    </w:p>
    <w:p w14:paraId="3D12C01E" w14:textId="28512310" w:rsidR="005776EE" w:rsidRDefault="005776EE" w:rsidP="00A30EAA">
      <w:pPr>
        <w:pStyle w:val="NumberedHeading2"/>
      </w:pPr>
      <w:bookmarkStart w:id="105" w:name="_Toc220069883"/>
      <w:bookmarkStart w:id="106" w:name="_Toc220655072"/>
      <w:bookmarkStart w:id="107" w:name="_Toc231895158"/>
      <w:r>
        <w:t>New Documentation Requirements</w:t>
      </w:r>
      <w:bookmarkEnd w:id="105"/>
      <w:bookmarkEnd w:id="106"/>
      <w:bookmarkEnd w:id="107"/>
    </w:p>
    <w:p w14:paraId="13610C27" w14:textId="5EB7A385" w:rsidR="005776EE" w:rsidRDefault="005776EE" w:rsidP="00A30EAA">
      <w:pPr>
        <w:pStyle w:val="Body"/>
      </w:pPr>
      <w:r>
        <w:t xml:space="preserve">Privacy compliance requires specific documentation that most </w:t>
      </w:r>
      <w:r w:rsidR="00442FA0">
        <w:t xml:space="preserve">smaller </w:t>
      </w:r>
      <w:r>
        <w:t>law firms will not currently have. The following table summarises the key documentation requirements and identifies the toolkit document that addresses each:</w:t>
      </w:r>
    </w:p>
    <w:tbl>
      <w:tblPr>
        <w:tblW w:w="5000" w:type="pct"/>
        <w:tblCellMar>
          <w:left w:w="10" w:type="dxa"/>
          <w:right w:w="10" w:type="dxa"/>
        </w:tblCellMar>
        <w:tblLook w:val="04A0" w:firstRow="1" w:lastRow="0" w:firstColumn="1" w:lastColumn="0" w:noHBand="0" w:noVBand="1"/>
      </w:tblPr>
      <w:tblGrid>
        <w:gridCol w:w="2000"/>
        <w:gridCol w:w="3500"/>
        <w:gridCol w:w="2000"/>
        <w:gridCol w:w="1526"/>
      </w:tblGrid>
      <w:tr w:rsidR="005776EE" w14:paraId="66C4BFB1" w14:textId="77777777" w:rsidTr="000E1801">
        <w:tc>
          <w:tcPr>
            <w:tcW w:w="2000" w:type="dxa"/>
            <w:shd w:val="clear" w:color="auto" w:fill="0F2D52"/>
            <w:tcMar>
              <w:top w:w="100" w:type="dxa"/>
              <w:left w:w="120" w:type="dxa"/>
              <w:bottom w:w="100" w:type="dxa"/>
              <w:right w:w="120" w:type="dxa"/>
            </w:tcMar>
          </w:tcPr>
          <w:p w14:paraId="0D1BF210" w14:textId="77777777" w:rsidR="005776EE" w:rsidRPr="00394CBB" w:rsidRDefault="005776EE" w:rsidP="00F447F8">
            <w:pPr>
              <w:pStyle w:val="TableHeading"/>
            </w:pPr>
            <w:r w:rsidRPr="00394CBB">
              <w:t>APP Requirement</w:t>
            </w:r>
          </w:p>
        </w:tc>
        <w:tc>
          <w:tcPr>
            <w:tcW w:w="3500" w:type="dxa"/>
            <w:shd w:val="clear" w:color="auto" w:fill="0F2D52"/>
            <w:tcMar>
              <w:top w:w="100" w:type="dxa"/>
              <w:left w:w="120" w:type="dxa"/>
              <w:bottom w:w="100" w:type="dxa"/>
              <w:right w:w="120" w:type="dxa"/>
            </w:tcMar>
          </w:tcPr>
          <w:p w14:paraId="042204A4" w14:textId="77777777" w:rsidR="005776EE" w:rsidRPr="00394CBB" w:rsidRDefault="005776EE" w:rsidP="00F447F8">
            <w:pPr>
              <w:pStyle w:val="TableHeading"/>
            </w:pPr>
            <w:r w:rsidRPr="00394CBB">
              <w:t>What This Means</w:t>
            </w:r>
          </w:p>
        </w:tc>
        <w:tc>
          <w:tcPr>
            <w:tcW w:w="2000" w:type="dxa"/>
            <w:shd w:val="clear" w:color="auto" w:fill="0F2D52"/>
            <w:tcMar>
              <w:top w:w="100" w:type="dxa"/>
              <w:left w:w="120" w:type="dxa"/>
              <w:bottom w:w="100" w:type="dxa"/>
              <w:right w:w="120" w:type="dxa"/>
            </w:tcMar>
          </w:tcPr>
          <w:p w14:paraId="2818BD3B" w14:textId="77777777" w:rsidR="005776EE" w:rsidRPr="00394CBB" w:rsidRDefault="005776EE" w:rsidP="00F447F8">
            <w:pPr>
              <w:pStyle w:val="TableHeading"/>
            </w:pPr>
            <w:r w:rsidRPr="00394CBB">
              <w:t>Toolkit Document</w:t>
            </w:r>
          </w:p>
        </w:tc>
        <w:tc>
          <w:tcPr>
            <w:tcW w:w="1526" w:type="dxa"/>
            <w:shd w:val="clear" w:color="auto" w:fill="0F2D52"/>
            <w:tcMar>
              <w:top w:w="100" w:type="dxa"/>
              <w:left w:w="120" w:type="dxa"/>
              <w:bottom w:w="100" w:type="dxa"/>
              <w:right w:w="120" w:type="dxa"/>
            </w:tcMar>
          </w:tcPr>
          <w:p w14:paraId="58203602" w14:textId="77777777" w:rsidR="005776EE" w:rsidRPr="00394CBB" w:rsidRDefault="005776EE" w:rsidP="00F447F8">
            <w:pPr>
              <w:pStyle w:val="TableHeading"/>
            </w:pPr>
            <w:r w:rsidRPr="00394CBB">
              <w:t>New for Most Firms?</w:t>
            </w:r>
          </w:p>
        </w:tc>
      </w:tr>
      <w:tr w:rsidR="005776EE" w14:paraId="0B776E54" w14:textId="77777777" w:rsidTr="000E1801">
        <w:tc>
          <w:tcPr>
            <w:tcW w:w="2000" w:type="dxa"/>
            <w:tcBorders>
              <w:bottom w:val="single" w:sz="4" w:space="0" w:color="auto"/>
            </w:tcBorders>
            <w:tcMar>
              <w:top w:w="100" w:type="dxa"/>
              <w:left w:w="120" w:type="dxa"/>
              <w:bottom w:w="100" w:type="dxa"/>
              <w:right w:w="120" w:type="dxa"/>
            </w:tcMar>
          </w:tcPr>
          <w:p w14:paraId="24FAE8C1" w14:textId="77777777" w:rsidR="005776EE" w:rsidRDefault="005776EE" w:rsidP="0011154A">
            <w:pPr>
              <w:pStyle w:val="Tablecontent"/>
            </w:pPr>
            <w:r>
              <w:t>APP 1.3-1.4: Privacy policy</w:t>
            </w:r>
          </w:p>
        </w:tc>
        <w:tc>
          <w:tcPr>
            <w:tcW w:w="3500" w:type="dxa"/>
            <w:tcBorders>
              <w:bottom w:val="single" w:sz="4" w:space="0" w:color="auto"/>
            </w:tcBorders>
            <w:tcMar>
              <w:top w:w="100" w:type="dxa"/>
              <w:left w:w="120" w:type="dxa"/>
              <w:bottom w:w="100" w:type="dxa"/>
              <w:right w:w="120" w:type="dxa"/>
            </w:tcMar>
          </w:tcPr>
          <w:p w14:paraId="48C00CD4" w14:textId="403BE403" w:rsidR="005776EE" w:rsidRDefault="005776EE" w:rsidP="0011154A">
            <w:pPr>
              <w:pStyle w:val="Tablecontent"/>
            </w:pPr>
            <w:r>
              <w:t>A clearly expressed, up-to-date policy describing how you handle personal information, available free of charge</w:t>
            </w:r>
            <w:r w:rsidR="00C57F2A">
              <w:rPr>
                <w:rStyle w:val="FootnoteReference"/>
              </w:rPr>
              <w:footnoteReference w:id="51"/>
            </w:r>
          </w:p>
        </w:tc>
        <w:tc>
          <w:tcPr>
            <w:tcW w:w="2000" w:type="dxa"/>
            <w:tcBorders>
              <w:bottom w:val="single" w:sz="4" w:space="0" w:color="auto"/>
            </w:tcBorders>
            <w:tcMar>
              <w:top w:w="100" w:type="dxa"/>
              <w:left w:w="120" w:type="dxa"/>
              <w:bottom w:w="100" w:type="dxa"/>
              <w:right w:w="120" w:type="dxa"/>
            </w:tcMar>
          </w:tcPr>
          <w:p w14:paraId="0AB8FD42" w14:textId="77777777" w:rsidR="005776EE" w:rsidRDefault="005776EE" w:rsidP="0011154A">
            <w:pPr>
              <w:pStyle w:val="Tablecontent"/>
            </w:pPr>
            <w:r>
              <w:t>Doc 01: Privacy Policy Template</w:t>
            </w:r>
          </w:p>
        </w:tc>
        <w:tc>
          <w:tcPr>
            <w:tcW w:w="1526" w:type="dxa"/>
            <w:tcBorders>
              <w:bottom w:val="single" w:sz="4" w:space="0" w:color="auto"/>
            </w:tcBorders>
            <w:tcMar>
              <w:top w:w="100" w:type="dxa"/>
              <w:left w:w="120" w:type="dxa"/>
              <w:bottom w:w="100" w:type="dxa"/>
              <w:right w:w="120" w:type="dxa"/>
            </w:tcMar>
          </w:tcPr>
          <w:p w14:paraId="75D87117" w14:textId="77777777" w:rsidR="005776EE" w:rsidRDefault="005776EE" w:rsidP="0011154A">
            <w:pPr>
              <w:pStyle w:val="Tablecontent"/>
            </w:pPr>
            <w:r>
              <w:t>Yes</w:t>
            </w:r>
          </w:p>
        </w:tc>
      </w:tr>
      <w:tr w:rsidR="005776EE" w14:paraId="399FAB26" w14:textId="77777777" w:rsidTr="000E1801">
        <w:tc>
          <w:tcPr>
            <w:tcW w:w="2000" w:type="dxa"/>
            <w:tcBorders>
              <w:top w:val="single" w:sz="4" w:space="0" w:color="auto"/>
              <w:bottom w:val="single" w:sz="4" w:space="0" w:color="auto"/>
            </w:tcBorders>
            <w:tcMar>
              <w:top w:w="100" w:type="dxa"/>
              <w:left w:w="120" w:type="dxa"/>
              <w:bottom w:w="100" w:type="dxa"/>
              <w:right w:w="120" w:type="dxa"/>
            </w:tcMar>
          </w:tcPr>
          <w:p w14:paraId="7FD04070" w14:textId="77777777" w:rsidR="005776EE" w:rsidRDefault="005776EE" w:rsidP="0011154A">
            <w:pPr>
              <w:pStyle w:val="Tablecontent"/>
            </w:pPr>
            <w:r>
              <w:t>APP 1.2: Privacy practices and systems</w:t>
            </w:r>
          </w:p>
        </w:tc>
        <w:tc>
          <w:tcPr>
            <w:tcW w:w="3500" w:type="dxa"/>
            <w:tcBorders>
              <w:top w:val="single" w:sz="4" w:space="0" w:color="auto"/>
              <w:bottom w:val="single" w:sz="4" w:space="0" w:color="auto"/>
            </w:tcBorders>
            <w:tcMar>
              <w:top w:w="100" w:type="dxa"/>
              <w:left w:w="120" w:type="dxa"/>
              <w:bottom w:w="100" w:type="dxa"/>
              <w:right w:w="120" w:type="dxa"/>
            </w:tcMar>
          </w:tcPr>
          <w:p w14:paraId="7345042B" w14:textId="77777777" w:rsidR="005776EE" w:rsidRDefault="005776EE" w:rsidP="0011154A">
            <w:pPr>
              <w:pStyle w:val="Tablecontent"/>
            </w:pPr>
            <w:r>
              <w:t>Documented practices, procedures and systems for ensuring APP compliance</w:t>
            </w:r>
          </w:p>
        </w:tc>
        <w:tc>
          <w:tcPr>
            <w:tcW w:w="2000" w:type="dxa"/>
            <w:tcBorders>
              <w:top w:val="single" w:sz="4" w:space="0" w:color="auto"/>
              <w:bottom w:val="single" w:sz="4" w:space="0" w:color="auto"/>
            </w:tcBorders>
            <w:tcMar>
              <w:top w:w="100" w:type="dxa"/>
              <w:left w:w="120" w:type="dxa"/>
              <w:bottom w:w="100" w:type="dxa"/>
              <w:right w:w="120" w:type="dxa"/>
            </w:tcMar>
          </w:tcPr>
          <w:p w14:paraId="5DFDD3EB" w14:textId="77777777" w:rsidR="00AE481D" w:rsidRDefault="005776EE" w:rsidP="0011154A">
            <w:pPr>
              <w:pStyle w:val="Tablecontent"/>
            </w:pPr>
            <w:r>
              <w:t xml:space="preserve">Doc 03: PI Inventory </w:t>
            </w:r>
          </w:p>
          <w:p w14:paraId="39BDCCA6" w14:textId="129E4D07" w:rsidR="005776EE" w:rsidRDefault="005776EE" w:rsidP="0011154A">
            <w:pPr>
              <w:pStyle w:val="Tablecontent"/>
            </w:pPr>
            <w:r>
              <w:t>Doc 04: Retention Schedule</w:t>
            </w:r>
          </w:p>
        </w:tc>
        <w:tc>
          <w:tcPr>
            <w:tcW w:w="1526" w:type="dxa"/>
            <w:tcBorders>
              <w:top w:val="single" w:sz="4" w:space="0" w:color="auto"/>
              <w:bottom w:val="single" w:sz="4" w:space="0" w:color="auto"/>
            </w:tcBorders>
            <w:tcMar>
              <w:top w:w="100" w:type="dxa"/>
              <w:left w:w="120" w:type="dxa"/>
              <w:bottom w:w="100" w:type="dxa"/>
              <w:right w:w="120" w:type="dxa"/>
            </w:tcMar>
          </w:tcPr>
          <w:p w14:paraId="3C1D018C" w14:textId="77777777" w:rsidR="005776EE" w:rsidRDefault="005776EE" w:rsidP="0011154A">
            <w:pPr>
              <w:pStyle w:val="Tablecontent"/>
            </w:pPr>
            <w:r>
              <w:t>Yes</w:t>
            </w:r>
          </w:p>
          <w:p w14:paraId="35AEEA08" w14:textId="77777777" w:rsidR="00026BC4" w:rsidRDefault="00026BC4" w:rsidP="0011154A">
            <w:pPr>
              <w:pStyle w:val="Tablecontent"/>
            </w:pPr>
          </w:p>
          <w:p w14:paraId="4160CCDA" w14:textId="0E88EB13" w:rsidR="00AE481D" w:rsidRDefault="00AE481D" w:rsidP="0011154A">
            <w:pPr>
              <w:pStyle w:val="Tablecontent"/>
            </w:pPr>
            <w:r>
              <w:t>N</w:t>
            </w:r>
            <w:r w:rsidR="00026BC4">
              <w:t>o</w:t>
            </w:r>
          </w:p>
        </w:tc>
      </w:tr>
      <w:tr w:rsidR="005776EE" w14:paraId="5B71EEB4" w14:textId="77777777" w:rsidTr="000E1801">
        <w:tc>
          <w:tcPr>
            <w:tcW w:w="2000" w:type="dxa"/>
            <w:tcBorders>
              <w:top w:val="single" w:sz="4" w:space="0" w:color="auto"/>
              <w:bottom w:val="single" w:sz="4" w:space="0" w:color="auto"/>
            </w:tcBorders>
            <w:tcMar>
              <w:top w:w="100" w:type="dxa"/>
              <w:left w:w="120" w:type="dxa"/>
              <w:bottom w:w="100" w:type="dxa"/>
              <w:right w:w="120" w:type="dxa"/>
            </w:tcMar>
          </w:tcPr>
          <w:p w14:paraId="3D75B67C" w14:textId="77777777" w:rsidR="005776EE" w:rsidRDefault="005776EE" w:rsidP="0011154A">
            <w:pPr>
              <w:pStyle w:val="Tablecontent"/>
            </w:pPr>
            <w:r>
              <w:t>APP 5: Collection notification</w:t>
            </w:r>
          </w:p>
        </w:tc>
        <w:tc>
          <w:tcPr>
            <w:tcW w:w="3500" w:type="dxa"/>
            <w:tcBorders>
              <w:top w:val="single" w:sz="4" w:space="0" w:color="auto"/>
              <w:bottom w:val="single" w:sz="4" w:space="0" w:color="auto"/>
            </w:tcBorders>
            <w:tcMar>
              <w:top w:w="100" w:type="dxa"/>
              <w:left w:w="120" w:type="dxa"/>
              <w:bottom w:w="100" w:type="dxa"/>
              <w:right w:w="120" w:type="dxa"/>
            </w:tcMar>
          </w:tcPr>
          <w:p w14:paraId="67E6792D" w14:textId="1BFEDA17" w:rsidR="005776EE" w:rsidRDefault="005776EE" w:rsidP="0011154A">
            <w:pPr>
              <w:pStyle w:val="Tablecontent"/>
            </w:pPr>
            <w:r>
              <w:t>Notice to individuals at or before collection explaining what you collect and why</w:t>
            </w:r>
            <w:r w:rsidR="005B50AC">
              <w:t>. For many firms some additions to your letter of engagement may be enough.</w:t>
            </w:r>
          </w:p>
        </w:tc>
        <w:tc>
          <w:tcPr>
            <w:tcW w:w="2000" w:type="dxa"/>
            <w:tcBorders>
              <w:top w:val="single" w:sz="4" w:space="0" w:color="auto"/>
              <w:bottom w:val="single" w:sz="4" w:space="0" w:color="auto"/>
            </w:tcBorders>
            <w:tcMar>
              <w:top w:w="100" w:type="dxa"/>
              <w:left w:w="120" w:type="dxa"/>
              <w:bottom w:w="100" w:type="dxa"/>
              <w:right w:w="120" w:type="dxa"/>
            </w:tcMar>
          </w:tcPr>
          <w:p w14:paraId="0FC3B427" w14:textId="1254FC3E" w:rsidR="005776EE" w:rsidRDefault="005776EE" w:rsidP="0011154A">
            <w:pPr>
              <w:pStyle w:val="Tablecontent"/>
            </w:pPr>
            <w:r>
              <w:t>Doc 02: Collection Notice Template</w:t>
            </w:r>
          </w:p>
        </w:tc>
        <w:tc>
          <w:tcPr>
            <w:tcW w:w="1526" w:type="dxa"/>
            <w:tcBorders>
              <w:top w:val="single" w:sz="4" w:space="0" w:color="auto"/>
              <w:bottom w:val="single" w:sz="4" w:space="0" w:color="auto"/>
            </w:tcBorders>
            <w:tcMar>
              <w:top w:w="100" w:type="dxa"/>
              <w:left w:w="120" w:type="dxa"/>
              <w:bottom w:w="100" w:type="dxa"/>
              <w:right w:w="120" w:type="dxa"/>
            </w:tcMar>
          </w:tcPr>
          <w:p w14:paraId="61E2F8DC" w14:textId="77777777" w:rsidR="005776EE" w:rsidRDefault="005776EE" w:rsidP="0011154A">
            <w:pPr>
              <w:pStyle w:val="Tablecontent"/>
            </w:pPr>
            <w:r>
              <w:t>Yes</w:t>
            </w:r>
          </w:p>
        </w:tc>
      </w:tr>
      <w:tr w:rsidR="005776EE" w14:paraId="3D63D25C" w14:textId="77777777" w:rsidTr="000E1801">
        <w:tc>
          <w:tcPr>
            <w:tcW w:w="2000" w:type="dxa"/>
            <w:tcBorders>
              <w:top w:val="single" w:sz="4" w:space="0" w:color="auto"/>
              <w:bottom w:val="single" w:sz="4" w:space="0" w:color="auto"/>
            </w:tcBorders>
            <w:tcMar>
              <w:top w:w="100" w:type="dxa"/>
              <w:left w:w="120" w:type="dxa"/>
              <w:bottom w:w="100" w:type="dxa"/>
              <w:right w:w="120" w:type="dxa"/>
            </w:tcMar>
          </w:tcPr>
          <w:p w14:paraId="3CDF66FA" w14:textId="77777777" w:rsidR="005776EE" w:rsidRDefault="005776EE" w:rsidP="0011154A">
            <w:pPr>
              <w:pStyle w:val="Tablecontent"/>
            </w:pPr>
            <w:r>
              <w:t>APP 11: Security measures</w:t>
            </w:r>
          </w:p>
        </w:tc>
        <w:tc>
          <w:tcPr>
            <w:tcW w:w="3500" w:type="dxa"/>
            <w:tcBorders>
              <w:top w:val="single" w:sz="4" w:space="0" w:color="auto"/>
              <w:bottom w:val="single" w:sz="4" w:space="0" w:color="auto"/>
            </w:tcBorders>
            <w:tcMar>
              <w:top w:w="100" w:type="dxa"/>
              <w:left w:w="120" w:type="dxa"/>
              <w:bottom w:w="100" w:type="dxa"/>
              <w:right w:w="120" w:type="dxa"/>
            </w:tcMar>
          </w:tcPr>
          <w:p w14:paraId="617E5AC3" w14:textId="77777777" w:rsidR="005776EE" w:rsidRDefault="005776EE" w:rsidP="0011154A">
            <w:pPr>
              <w:pStyle w:val="Tablecontent"/>
            </w:pPr>
            <w:r>
              <w:t>Documented security procedures to protect personal information from misuse, loss, and unauthorised access</w:t>
            </w:r>
          </w:p>
        </w:tc>
        <w:tc>
          <w:tcPr>
            <w:tcW w:w="2000" w:type="dxa"/>
            <w:tcBorders>
              <w:top w:val="single" w:sz="4" w:space="0" w:color="auto"/>
              <w:bottom w:val="single" w:sz="4" w:space="0" w:color="auto"/>
            </w:tcBorders>
            <w:tcMar>
              <w:top w:w="100" w:type="dxa"/>
              <w:left w:w="120" w:type="dxa"/>
              <w:bottom w:w="100" w:type="dxa"/>
              <w:right w:w="120" w:type="dxa"/>
            </w:tcMar>
          </w:tcPr>
          <w:p w14:paraId="3BF1787F" w14:textId="77777777" w:rsidR="005776EE" w:rsidRDefault="005776EE" w:rsidP="0011154A">
            <w:pPr>
              <w:pStyle w:val="Tablecontent"/>
            </w:pPr>
            <w:r>
              <w:t>Doc 05: Data Breach Response Plan</w:t>
            </w:r>
          </w:p>
          <w:p w14:paraId="476CD1CB" w14:textId="2CB6962C" w:rsidR="00CB0B41" w:rsidRDefault="00CB0B41" w:rsidP="0011154A">
            <w:pPr>
              <w:pStyle w:val="Tablecontent"/>
            </w:pPr>
            <w:r>
              <w:t>(</w:t>
            </w:r>
            <w:r w:rsidR="00B50DF1">
              <w:t xml:space="preserve">Suggested: </w:t>
            </w:r>
            <w:r>
              <w:t>SMB 1001)</w:t>
            </w:r>
          </w:p>
        </w:tc>
        <w:tc>
          <w:tcPr>
            <w:tcW w:w="1526" w:type="dxa"/>
            <w:tcBorders>
              <w:top w:val="single" w:sz="4" w:space="0" w:color="auto"/>
              <w:bottom w:val="single" w:sz="4" w:space="0" w:color="auto"/>
            </w:tcBorders>
            <w:tcMar>
              <w:top w:w="100" w:type="dxa"/>
              <w:left w:w="120" w:type="dxa"/>
              <w:bottom w:w="100" w:type="dxa"/>
              <w:right w:w="120" w:type="dxa"/>
            </w:tcMar>
          </w:tcPr>
          <w:p w14:paraId="34B92240" w14:textId="77777777" w:rsidR="005776EE" w:rsidRDefault="005776EE" w:rsidP="0011154A">
            <w:pPr>
              <w:pStyle w:val="Tablecontent"/>
            </w:pPr>
            <w:r>
              <w:t>Partial</w:t>
            </w:r>
          </w:p>
        </w:tc>
      </w:tr>
      <w:tr w:rsidR="005776EE" w14:paraId="4B481718" w14:textId="77777777" w:rsidTr="000E1801">
        <w:tc>
          <w:tcPr>
            <w:tcW w:w="2000" w:type="dxa"/>
            <w:tcBorders>
              <w:top w:val="single" w:sz="4" w:space="0" w:color="auto"/>
              <w:bottom w:val="single" w:sz="4" w:space="0" w:color="auto"/>
            </w:tcBorders>
            <w:tcMar>
              <w:top w:w="100" w:type="dxa"/>
              <w:left w:w="120" w:type="dxa"/>
              <w:bottom w:w="100" w:type="dxa"/>
              <w:right w:w="120" w:type="dxa"/>
            </w:tcMar>
          </w:tcPr>
          <w:p w14:paraId="3989D67C" w14:textId="77777777" w:rsidR="005776EE" w:rsidRDefault="005776EE" w:rsidP="0011154A">
            <w:pPr>
              <w:pStyle w:val="Tablecontent"/>
            </w:pPr>
            <w:r>
              <w:t>NDB scheme: Breach response</w:t>
            </w:r>
          </w:p>
        </w:tc>
        <w:tc>
          <w:tcPr>
            <w:tcW w:w="3500" w:type="dxa"/>
            <w:tcBorders>
              <w:top w:val="single" w:sz="4" w:space="0" w:color="auto"/>
              <w:bottom w:val="single" w:sz="4" w:space="0" w:color="auto"/>
            </w:tcBorders>
            <w:tcMar>
              <w:top w:w="100" w:type="dxa"/>
              <w:left w:w="120" w:type="dxa"/>
              <w:bottom w:w="100" w:type="dxa"/>
              <w:right w:w="120" w:type="dxa"/>
            </w:tcMar>
          </w:tcPr>
          <w:p w14:paraId="77F61C53" w14:textId="77777777" w:rsidR="005776EE" w:rsidRDefault="005776EE" w:rsidP="0011154A">
            <w:pPr>
              <w:pStyle w:val="Tablecontent"/>
            </w:pPr>
            <w:r>
              <w:t>A documented plan for assessing and responding to data breaches, including notification procedures</w:t>
            </w:r>
          </w:p>
        </w:tc>
        <w:tc>
          <w:tcPr>
            <w:tcW w:w="2000" w:type="dxa"/>
            <w:tcBorders>
              <w:top w:val="single" w:sz="4" w:space="0" w:color="auto"/>
              <w:bottom w:val="single" w:sz="4" w:space="0" w:color="auto"/>
            </w:tcBorders>
            <w:tcMar>
              <w:top w:w="100" w:type="dxa"/>
              <w:left w:w="120" w:type="dxa"/>
              <w:bottom w:w="100" w:type="dxa"/>
              <w:right w:w="120" w:type="dxa"/>
            </w:tcMar>
          </w:tcPr>
          <w:p w14:paraId="37A98EB8" w14:textId="77777777" w:rsidR="005776EE" w:rsidRDefault="005776EE" w:rsidP="0011154A">
            <w:pPr>
              <w:pStyle w:val="Tablecontent"/>
            </w:pPr>
            <w:r>
              <w:t>Doc 05: Data Breach Response Plan</w:t>
            </w:r>
          </w:p>
        </w:tc>
        <w:tc>
          <w:tcPr>
            <w:tcW w:w="1526" w:type="dxa"/>
            <w:tcBorders>
              <w:top w:val="single" w:sz="4" w:space="0" w:color="auto"/>
              <w:bottom w:val="single" w:sz="4" w:space="0" w:color="auto"/>
            </w:tcBorders>
            <w:tcMar>
              <w:top w:w="100" w:type="dxa"/>
              <w:left w:w="120" w:type="dxa"/>
              <w:bottom w:w="100" w:type="dxa"/>
              <w:right w:w="120" w:type="dxa"/>
            </w:tcMar>
          </w:tcPr>
          <w:p w14:paraId="7ED4F857" w14:textId="77777777" w:rsidR="005776EE" w:rsidRDefault="005776EE" w:rsidP="0011154A">
            <w:pPr>
              <w:pStyle w:val="Tablecontent"/>
            </w:pPr>
            <w:r>
              <w:t>Yes</w:t>
            </w:r>
          </w:p>
        </w:tc>
      </w:tr>
      <w:tr w:rsidR="005776EE" w14:paraId="2089E606" w14:textId="77777777" w:rsidTr="000E1801">
        <w:tc>
          <w:tcPr>
            <w:tcW w:w="2000" w:type="dxa"/>
            <w:tcBorders>
              <w:top w:val="single" w:sz="4" w:space="0" w:color="auto"/>
              <w:bottom w:val="single" w:sz="4" w:space="0" w:color="auto"/>
            </w:tcBorders>
            <w:tcMar>
              <w:top w:w="100" w:type="dxa"/>
              <w:left w:w="120" w:type="dxa"/>
              <w:bottom w:w="100" w:type="dxa"/>
              <w:right w:w="120" w:type="dxa"/>
            </w:tcMar>
          </w:tcPr>
          <w:p w14:paraId="27AAC65E" w14:textId="77777777" w:rsidR="005776EE" w:rsidRDefault="005776EE" w:rsidP="0011154A">
            <w:pPr>
              <w:pStyle w:val="Tablecontent"/>
            </w:pPr>
            <w:r>
              <w:t>APP 1.2: Risk assessment</w:t>
            </w:r>
          </w:p>
        </w:tc>
        <w:tc>
          <w:tcPr>
            <w:tcW w:w="3500" w:type="dxa"/>
            <w:tcBorders>
              <w:top w:val="single" w:sz="4" w:space="0" w:color="auto"/>
              <w:bottom w:val="single" w:sz="4" w:space="0" w:color="auto"/>
            </w:tcBorders>
            <w:tcMar>
              <w:top w:w="100" w:type="dxa"/>
              <w:left w:w="120" w:type="dxa"/>
              <w:bottom w:w="100" w:type="dxa"/>
              <w:right w:w="120" w:type="dxa"/>
            </w:tcMar>
          </w:tcPr>
          <w:p w14:paraId="5D88C509" w14:textId="77777777" w:rsidR="005776EE" w:rsidRDefault="005776EE" w:rsidP="0011154A">
            <w:pPr>
              <w:pStyle w:val="Tablecontent"/>
            </w:pPr>
            <w:r>
              <w:t>Assessment of privacy risks for new projects or significant changes to information handling</w:t>
            </w:r>
          </w:p>
        </w:tc>
        <w:tc>
          <w:tcPr>
            <w:tcW w:w="2000" w:type="dxa"/>
            <w:tcBorders>
              <w:top w:val="single" w:sz="4" w:space="0" w:color="auto"/>
              <w:bottom w:val="single" w:sz="4" w:space="0" w:color="auto"/>
            </w:tcBorders>
            <w:tcMar>
              <w:top w:w="100" w:type="dxa"/>
              <w:left w:w="120" w:type="dxa"/>
              <w:bottom w:w="100" w:type="dxa"/>
              <w:right w:w="120" w:type="dxa"/>
            </w:tcMar>
          </w:tcPr>
          <w:p w14:paraId="62FBCFA5" w14:textId="77777777" w:rsidR="005776EE" w:rsidRDefault="005776EE" w:rsidP="0011154A">
            <w:pPr>
              <w:pStyle w:val="Tablecontent"/>
            </w:pPr>
            <w:r>
              <w:t>Doc 06: Privacy Impact Assessment</w:t>
            </w:r>
          </w:p>
        </w:tc>
        <w:tc>
          <w:tcPr>
            <w:tcW w:w="1526" w:type="dxa"/>
            <w:tcBorders>
              <w:top w:val="single" w:sz="4" w:space="0" w:color="auto"/>
              <w:bottom w:val="single" w:sz="4" w:space="0" w:color="auto"/>
            </w:tcBorders>
            <w:tcMar>
              <w:top w:w="100" w:type="dxa"/>
              <w:left w:w="120" w:type="dxa"/>
              <w:bottom w:w="100" w:type="dxa"/>
              <w:right w:w="120" w:type="dxa"/>
            </w:tcMar>
          </w:tcPr>
          <w:p w14:paraId="7159E3ED" w14:textId="77777777" w:rsidR="005776EE" w:rsidRDefault="005776EE" w:rsidP="0011154A">
            <w:pPr>
              <w:pStyle w:val="Tablecontent"/>
            </w:pPr>
            <w:r>
              <w:t>Yes</w:t>
            </w:r>
          </w:p>
        </w:tc>
      </w:tr>
      <w:tr w:rsidR="005776EE" w14:paraId="622AC53A" w14:textId="77777777" w:rsidTr="000E1801">
        <w:tc>
          <w:tcPr>
            <w:tcW w:w="2000" w:type="dxa"/>
            <w:tcBorders>
              <w:top w:val="single" w:sz="4" w:space="0" w:color="auto"/>
              <w:bottom w:val="single" w:sz="4" w:space="0" w:color="auto"/>
            </w:tcBorders>
            <w:tcMar>
              <w:top w:w="100" w:type="dxa"/>
              <w:left w:w="120" w:type="dxa"/>
              <w:bottom w:w="100" w:type="dxa"/>
              <w:right w:w="120" w:type="dxa"/>
            </w:tcMar>
          </w:tcPr>
          <w:p w14:paraId="654A2F72" w14:textId="77777777" w:rsidR="005776EE" w:rsidRDefault="005776EE" w:rsidP="0011154A">
            <w:pPr>
              <w:pStyle w:val="Tablecontent"/>
            </w:pPr>
            <w:r>
              <w:t>APP 1.2: Staff training</w:t>
            </w:r>
          </w:p>
        </w:tc>
        <w:tc>
          <w:tcPr>
            <w:tcW w:w="3500" w:type="dxa"/>
            <w:tcBorders>
              <w:top w:val="single" w:sz="4" w:space="0" w:color="auto"/>
              <w:bottom w:val="single" w:sz="4" w:space="0" w:color="auto"/>
            </w:tcBorders>
            <w:tcMar>
              <w:top w:w="100" w:type="dxa"/>
              <w:left w:w="120" w:type="dxa"/>
              <w:bottom w:w="100" w:type="dxa"/>
              <w:right w:w="120" w:type="dxa"/>
            </w:tcMar>
          </w:tcPr>
          <w:p w14:paraId="6A0B1C40" w14:textId="77777777" w:rsidR="005776EE" w:rsidRDefault="005776EE" w:rsidP="0011154A">
            <w:pPr>
              <w:pStyle w:val="Tablecontent"/>
            </w:pPr>
            <w:r>
              <w:t>Training for staff on privacy obligations and the firm's privacy procedures</w:t>
            </w:r>
          </w:p>
        </w:tc>
        <w:tc>
          <w:tcPr>
            <w:tcW w:w="2000" w:type="dxa"/>
            <w:tcBorders>
              <w:top w:val="single" w:sz="4" w:space="0" w:color="auto"/>
              <w:bottom w:val="single" w:sz="4" w:space="0" w:color="auto"/>
            </w:tcBorders>
            <w:tcMar>
              <w:top w:w="100" w:type="dxa"/>
              <w:left w:w="120" w:type="dxa"/>
              <w:bottom w:w="100" w:type="dxa"/>
              <w:right w:w="120" w:type="dxa"/>
            </w:tcMar>
          </w:tcPr>
          <w:p w14:paraId="4747BC69" w14:textId="77777777" w:rsidR="005776EE" w:rsidRDefault="005776EE" w:rsidP="0011154A">
            <w:pPr>
              <w:pStyle w:val="Tablecontent"/>
            </w:pPr>
            <w:r>
              <w:t>Doc 07: Staff Training Framework</w:t>
            </w:r>
          </w:p>
        </w:tc>
        <w:tc>
          <w:tcPr>
            <w:tcW w:w="1526" w:type="dxa"/>
            <w:tcBorders>
              <w:top w:val="single" w:sz="4" w:space="0" w:color="auto"/>
              <w:bottom w:val="single" w:sz="4" w:space="0" w:color="auto"/>
            </w:tcBorders>
            <w:tcMar>
              <w:top w:w="100" w:type="dxa"/>
              <w:left w:w="120" w:type="dxa"/>
              <w:bottom w:w="100" w:type="dxa"/>
              <w:right w:w="120" w:type="dxa"/>
            </w:tcMar>
          </w:tcPr>
          <w:p w14:paraId="2613D6F9" w14:textId="77777777" w:rsidR="005776EE" w:rsidRDefault="005776EE" w:rsidP="0011154A">
            <w:pPr>
              <w:pStyle w:val="Tablecontent"/>
            </w:pPr>
            <w:r>
              <w:t>Yes</w:t>
            </w:r>
          </w:p>
        </w:tc>
      </w:tr>
    </w:tbl>
    <w:p w14:paraId="4AFF77B7" w14:textId="542DA71E" w:rsidR="00AD2036" w:rsidRDefault="005776EE" w:rsidP="00A30EAA">
      <w:pPr>
        <w:pStyle w:val="Body"/>
      </w:pPr>
      <w:r>
        <w:t xml:space="preserve">The 'Partial' notation for security measures reflects that most law firms already have some security controls in place (password policies, locked premises, secure document disposal). However, these measures </w:t>
      </w:r>
      <w:r w:rsidR="003615E8">
        <w:t>may not be documented and systematic.</w:t>
      </w:r>
    </w:p>
    <w:p w14:paraId="76711CFC" w14:textId="77777777" w:rsidR="00AD2036" w:rsidRDefault="00AD2036">
      <w:pPr>
        <w:spacing w:after="0"/>
        <w:rPr>
          <w:color w:val="404040"/>
          <w:sz w:val="18"/>
          <w:szCs w:val="18"/>
          <w:lang w:eastAsia="en-US"/>
        </w:rPr>
      </w:pPr>
      <w:r>
        <w:br w:type="page"/>
      </w:r>
    </w:p>
    <w:p w14:paraId="45A08631" w14:textId="523F6D86" w:rsidR="005776EE" w:rsidRDefault="005776EE" w:rsidP="00A30EAA">
      <w:pPr>
        <w:pStyle w:val="NumberedHeading2"/>
      </w:pPr>
      <w:bookmarkStart w:id="108" w:name="_Toc220069884"/>
      <w:bookmarkStart w:id="109" w:name="_Toc220655073"/>
      <w:bookmarkStart w:id="110" w:name="_Toc231895159"/>
      <w:r>
        <w:lastRenderedPageBreak/>
        <w:t>New Processes</w:t>
      </w:r>
      <w:bookmarkEnd w:id="108"/>
      <w:bookmarkEnd w:id="109"/>
      <w:bookmarkEnd w:id="110"/>
    </w:p>
    <w:p w14:paraId="3A48D00E" w14:textId="77777777" w:rsidR="005776EE" w:rsidRDefault="005776EE" w:rsidP="00A30EAA">
      <w:pPr>
        <w:pStyle w:val="Body"/>
      </w:pPr>
      <w:r>
        <w:t>Beyond documentation, privacy compliance requires implementing new operational processes. These processes will need to be integrated into the firm's existing workflows.</w:t>
      </w:r>
    </w:p>
    <w:p w14:paraId="4B9EE2D6" w14:textId="77777777" w:rsidR="005776EE" w:rsidRDefault="005776EE" w:rsidP="00973158">
      <w:pPr>
        <w:pStyle w:val="Heading3"/>
      </w:pPr>
      <w:bookmarkStart w:id="111" w:name="_Toc220069886"/>
      <w:r>
        <w:t>Collection notification</w:t>
      </w:r>
      <w:bookmarkEnd w:id="111"/>
    </w:p>
    <w:p w14:paraId="2971134B" w14:textId="6CEDB79C" w:rsidR="005776EE" w:rsidRDefault="005776EE" w:rsidP="00A30EAA">
      <w:pPr>
        <w:pStyle w:val="Body"/>
      </w:pPr>
      <w:r>
        <w:t>APP 5 requires notification to individuals at or before the time of collection (or as soon as practicable afterwards).</w:t>
      </w:r>
      <w:r>
        <w:rPr>
          <w:rStyle w:val="FootnoteReference"/>
        </w:rPr>
        <w:footnoteReference w:id="52"/>
      </w:r>
      <w:r>
        <w:t xml:space="preserve"> </w:t>
      </w:r>
      <w:r w:rsidR="00453C4C">
        <w:t>In addition to having template notice</w:t>
      </w:r>
      <w:r w:rsidR="00B824C3">
        <w:t>/</w:t>
      </w:r>
      <w:r w:rsidR="00453C4C">
        <w:t>s, you need to embed new processes to ensure they are given as r</w:t>
      </w:r>
      <w:r w:rsidR="00B824C3">
        <w:t>e</w:t>
      </w:r>
      <w:r w:rsidR="00453C4C">
        <w:t>quired.</w:t>
      </w:r>
      <w:r>
        <w:rPr>
          <w:rStyle w:val="FootnoteReference"/>
        </w:rPr>
        <w:footnoteReference w:id="53"/>
      </w:r>
    </w:p>
    <w:p w14:paraId="71FDFF22" w14:textId="77777777" w:rsidR="005776EE" w:rsidRDefault="005776EE" w:rsidP="00A30EAA">
      <w:pPr>
        <w:pStyle w:val="Body"/>
      </w:pPr>
      <w:r>
        <w:t>For law firms, this typically means:</w:t>
      </w:r>
    </w:p>
    <w:p w14:paraId="3831A1DB" w14:textId="6FACE455" w:rsidR="005776EE" w:rsidRDefault="005776EE" w:rsidP="00A30EAA">
      <w:pPr>
        <w:pStyle w:val="ListParagraph"/>
      </w:pPr>
      <w:r>
        <w:t>Including a collection notice in engagement letters or as an attachment to the costs agreement;</w:t>
      </w:r>
    </w:p>
    <w:p w14:paraId="631B149D" w14:textId="36E0F893" w:rsidR="005776EE" w:rsidRDefault="005776EE" w:rsidP="00A30EAA">
      <w:pPr>
        <w:pStyle w:val="ListParagraph"/>
      </w:pPr>
      <w:r>
        <w:t>Providing a specific notice when collecting identity documents for AML/CTF purposes;</w:t>
      </w:r>
    </w:p>
    <w:p w14:paraId="20F2C4DF" w14:textId="5DEBB739" w:rsidR="005776EE" w:rsidRDefault="005776EE" w:rsidP="00A30EAA">
      <w:pPr>
        <w:pStyle w:val="ListParagraph"/>
      </w:pPr>
      <w:r>
        <w:t xml:space="preserve">Providing a notice to beneficial owners and </w:t>
      </w:r>
      <w:r w:rsidRPr="00444D82">
        <w:rPr>
          <w:b/>
          <w:bCs/>
        </w:rPr>
        <w:t>other third parties</w:t>
      </w:r>
      <w:r>
        <w:t xml:space="preserve"> from</w:t>
      </w:r>
      <w:r w:rsidR="00AF786C">
        <w:t xml:space="preserve"> or about</w:t>
      </w:r>
      <w:r>
        <w:t xml:space="preserve"> whom information is collected;</w:t>
      </w:r>
      <w:r w:rsidR="004E002F">
        <w:rPr>
          <w:rStyle w:val="FootnoteReference"/>
        </w:rPr>
        <w:footnoteReference w:id="54"/>
      </w:r>
    </w:p>
    <w:p w14:paraId="1C775FD4" w14:textId="171D6656" w:rsidR="005776EE" w:rsidRDefault="005776EE" w:rsidP="00A30EAA">
      <w:pPr>
        <w:pStyle w:val="ListParagraph"/>
      </w:pPr>
      <w:r>
        <w:t>Including a privacy notice on website contact forms.</w:t>
      </w:r>
    </w:p>
    <w:p w14:paraId="70A33A8E" w14:textId="77777777" w:rsidR="005776EE" w:rsidRDefault="005776EE" w:rsidP="00973158">
      <w:pPr>
        <w:pStyle w:val="Heading3"/>
      </w:pPr>
      <w:bookmarkStart w:id="112" w:name="_Toc220069887"/>
      <w:r>
        <w:t>Data breach assessment and notification</w:t>
      </w:r>
      <w:bookmarkEnd w:id="112"/>
    </w:p>
    <w:p w14:paraId="0D566C85" w14:textId="77777777" w:rsidR="00C43118" w:rsidRDefault="005776EE" w:rsidP="00A30EAA">
      <w:pPr>
        <w:pStyle w:val="Body"/>
      </w:pPr>
      <w:r>
        <w:t xml:space="preserve">The Notifiable Data Breaches scheme requires a formal process for </w:t>
      </w:r>
      <w:r w:rsidRPr="00C43118">
        <w:rPr>
          <w:b/>
          <w:bCs/>
        </w:rPr>
        <w:t>assessing</w:t>
      </w:r>
      <w:r>
        <w:t xml:space="preserve"> and </w:t>
      </w:r>
      <w:r w:rsidRPr="00C43118">
        <w:rPr>
          <w:b/>
          <w:bCs/>
        </w:rPr>
        <w:t>responding</w:t>
      </w:r>
      <w:r>
        <w:t xml:space="preserve"> to data breaches</w:t>
      </w:r>
      <w:r w:rsidR="001461D2">
        <w:t>, and Privacy Act compliance requires that a basic framework plan be in place before hand</w:t>
      </w:r>
      <w:r>
        <w:rPr>
          <w:rStyle w:val="FootnoteReference"/>
        </w:rPr>
        <w:footnoteReference w:id="55"/>
      </w:r>
      <w:r>
        <w:t xml:space="preserve"> </w:t>
      </w:r>
      <w:r w:rsidR="00ED4E9B">
        <w:t xml:space="preserve">The OAIC website contains useful information and decision-trees. </w:t>
      </w:r>
    </w:p>
    <w:p w14:paraId="410A4422" w14:textId="1E93209A" w:rsidR="005776EE" w:rsidRDefault="005776EE" w:rsidP="00A30EAA">
      <w:pPr>
        <w:pStyle w:val="Body"/>
      </w:pPr>
      <w:r>
        <w:t>When a breach occurs (or is suspected), the firm must:</w:t>
      </w:r>
    </w:p>
    <w:p w14:paraId="41E4B194" w14:textId="785815AD" w:rsidR="005776EE" w:rsidRDefault="005776EE" w:rsidP="0011154A">
      <w:pPr>
        <w:pStyle w:val="ListNumber"/>
      </w:pPr>
      <w:r>
        <w:t>Contain the breach and take immediate steps to limit any damage;</w:t>
      </w:r>
    </w:p>
    <w:p w14:paraId="7D7D63D0" w14:textId="66447DCA" w:rsidR="005776EE" w:rsidRDefault="005776EE" w:rsidP="0011154A">
      <w:pPr>
        <w:pStyle w:val="ListNumber"/>
      </w:pPr>
      <w:r>
        <w:t>Assess the breach to determine whether it is an 'eligible data breach' (within 30 days);</w:t>
      </w:r>
    </w:p>
    <w:p w14:paraId="4E6B15BA" w14:textId="6C9A969B" w:rsidR="005776EE" w:rsidRDefault="005776EE" w:rsidP="0011154A">
      <w:pPr>
        <w:pStyle w:val="ListNumber"/>
      </w:pPr>
      <w:r>
        <w:t>Notify the OAIC and affected individuals if the breach is eligible; and</w:t>
      </w:r>
    </w:p>
    <w:p w14:paraId="7D2D6173" w14:textId="0190AB8D" w:rsidR="005776EE" w:rsidRDefault="005776EE" w:rsidP="0011154A">
      <w:pPr>
        <w:pStyle w:val="ListNumber"/>
        <w:spacing w:after="240"/>
      </w:pPr>
      <w:r>
        <w:t>Review the incident and implement improvements to prevent recurrence.</w:t>
      </w:r>
      <w:r>
        <w:rPr>
          <w:rStyle w:val="FootnoteReference"/>
        </w:rPr>
        <w:footnoteReference w:id="56"/>
      </w:r>
    </w:p>
    <w:p w14:paraId="510073A9" w14:textId="6297F515" w:rsidR="005776EE" w:rsidRDefault="005776EE" w:rsidP="00A30EAA">
      <w:pPr>
        <w:pStyle w:val="Body"/>
      </w:pPr>
      <w:r>
        <w:t xml:space="preserve">This requires having a documented plan, designated personnel, and practised procedures </w:t>
      </w:r>
      <w:r>
        <w:rPr>
          <w:i/>
          <w:iCs/>
        </w:rPr>
        <w:t>before</w:t>
      </w:r>
      <w:r>
        <w:t xml:space="preserve"> a breach occurs. The Data Breach Response Plan (Document 05) provides this </w:t>
      </w:r>
      <w:r w:rsidR="005E00A9">
        <w:t xml:space="preserve">(very basic) </w:t>
      </w:r>
      <w:r>
        <w:t>framework.</w:t>
      </w:r>
      <w:r w:rsidR="005E00A9">
        <w:t xml:space="preserve"> In most cases a firm will call in outside assistance in the event of a data breach</w:t>
      </w:r>
      <w:r w:rsidR="0085001C">
        <w:t xml:space="preserve">. </w:t>
      </w:r>
    </w:p>
    <w:p w14:paraId="1961F00A" w14:textId="77777777" w:rsidR="005776EE" w:rsidRDefault="005776EE" w:rsidP="00973158">
      <w:pPr>
        <w:pStyle w:val="Heading3"/>
      </w:pPr>
      <w:bookmarkStart w:id="113" w:name="_Toc220069888"/>
      <w:r>
        <w:t>Privacy impact assessment</w:t>
      </w:r>
      <w:bookmarkEnd w:id="113"/>
    </w:p>
    <w:p w14:paraId="5D427AB6" w14:textId="77777777" w:rsidR="005776EE" w:rsidRDefault="005776EE" w:rsidP="00A30EAA">
      <w:pPr>
        <w:pStyle w:val="Body"/>
      </w:pPr>
      <w:r>
        <w:t>APP 1.2 requires entities to take reasonable steps to implement practices, procedures and systems for managing personal information in accordance with the APPs.</w:t>
      </w:r>
      <w:r>
        <w:rPr>
          <w:rStyle w:val="FootnoteReference"/>
        </w:rPr>
        <w:footnoteReference w:id="57"/>
      </w:r>
      <w:r>
        <w:t xml:space="preserve"> One element of this is conducting privacy impact assessments (PIAs) when planning new projects or significant changes that involve personal information.</w:t>
      </w:r>
      <w:r>
        <w:rPr>
          <w:rStyle w:val="FootnoteReference"/>
        </w:rPr>
        <w:footnoteReference w:id="58"/>
      </w:r>
    </w:p>
    <w:p w14:paraId="5A6A721B" w14:textId="77777777" w:rsidR="005776EE" w:rsidRDefault="005776EE" w:rsidP="00A30EAA">
      <w:pPr>
        <w:pStyle w:val="Body"/>
      </w:pPr>
      <w:r>
        <w:t>For small law firms, PIAs are most likely to be relevant when:</w:t>
      </w:r>
    </w:p>
    <w:p w14:paraId="40A8556B" w14:textId="2804A437" w:rsidR="005776EE" w:rsidRDefault="005776EE" w:rsidP="00A30EAA">
      <w:pPr>
        <w:pStyle w:val="ListParagraph"/>
      </w:pPr>
      <w:r>
        <w:t>Implementing new practice management or document management systems;</w:t>
      </w:r>
    </w:p>
    <w:p w14:paraId="14E1BB05" w14:textId="551CA839" w:rsidR="005776EE" w:rsidRDefault="005776EE" w:rsidP="00A30EAA">
      <w:pPr>
        <w:pStyle w:val="ListParagraph"/>
      </w:pPr>
      <w:r>
        <w:t>Engaging new IT service providers or cloud platforms;</w:t>
      </w:r>
    </w:p>
    <w:p w14:paraId="32D07DCB" w14:textId="476E6F2B" w:rsidR="005776EE" w:rsidRDefault="005776EE" w:rsidP="00A30EAA">
      <w:pPr>
        <w:pStyle w:val="ListParagraph"/>
      </w:pPr>
      <w:r>
        <w:t>Implementing AI tools that process client information;</w:t>
      </w:r>
    </w:p>
    <w:p w14:paraId="03769976" w14:textId="72ABA401" w:rsidR="005776EE" w:rsidRDefault="005776EE" w:rsidP="00A30EAA">
      <w:pPr>
        <w:pStyle w:val="ListParagraph"/>
      </w:pPr>
      <w:r>
        <w:t>Expanding into new practice areas that involve different types of personal information; or</w:t>
      </w:r>
    </w:p>
    <w:p w14:paraId="1E3BF073" w14:textId="3DBF9CF8" w:rsidR="00864BB9" w:rsidRDefault="005776EE" w:rsidP="00A30EAA">
      <w:pPr>
        <w:pStyle w:val="ListParagraph"/>
      </w:pPr>
      <w:r>
        <w:t>Making significant changes to information security arrangements.</w:t>
      </w:r>
    </w:p>
    <w:p w14:paraId="6341B97A" w14:textId="786C6DC8" w:rsidR="00AD2036" w:rsidRDefault="005776EE" w:rsidP="00A30EAA">
      <w:pPr>
        <w:pStyle w:val="Body"/>
      </w:pPr>
      <w:r>
        <w:lastRenderedPageBreak/>
        <w:t>The Privacy Impact Assessment (Document 06) includes a threshold assessment tool to help determine when a full PIA is warranted.</w:t>
      </w:r>
    </w:p>
    <w:p w14:paraId="3F534435" w14:textId="614879E1" w:rsidR="005776EE" w:rsidRPr="00571375" w:rsidRDefault="00AD2036" w:rsidP="00571375">
      <w:pPr>
        <w:spacing w:after="0"/>
        <w:rPr>
          <w:color w:val="404040"/>
          <w:sz w:val="18"/>
          <w:szCs w:val="18"/>
          <w:lang w:eastAsia="en-US"/>
        </w:rPr>
      </w:pPr>
      <w:r>
        <w:br w:type="page"/>
      </w:r>
    </w:p>
    <w:p w14:paraId="6B757B6C" w14:textId="1E210B8A" w:rsidR="005776EE" w:rsidRDefault="005776EE" w:rsidP="00A30EAA">
      <w:pPr>
        <w:pStyle w:val="NumberedHeading2"/>
      </w:pPr>
      <w:bookmarkStart w:id="114" w:name="_Toc220069889"/>
      <w:bookmarkStart w:id="115" w:name="_Toc220655074"/>
      <w:bookmarkStart w:id="116" w:name="_Toc231895160"/>
      <w:r>
        <w:lastRenderedPageBreak/>
        <w:t>Individual Rights: New Obligations</w:t>
      </w:r>
      <w:bookmarkEnd w:id="114"/>
      <w:bookmarkEnd w:id="115"/>
      <w:bookmarkEnd w:id="116"/>
    </w:p>
    <w:p w14:paraId="150CD2FA" w14:textId="12D97163" w:rsidR="005776EE" w:rsidRDefault="00815672" w:rsidP="00A30EAA">
      <w:pPr>
        <w:pStyle w:val="Body"/>
      </w:pPr>
      <w:r>
        <w:t>Some APPs create</w:t>
      </w:r>
      <w:r w:rsidR="005776EE">
        <w:t xml:space="preserve"> rights do not exist under confidentiality law and represent genuinely new obligations for most law firms</w:t>
      </w:r>
      <w:r w:rsidR="000D17F6">
        <w:t>, especially as they relate to people who are not clients.</w:t>
      </w:r>
    </w:p>
    <w:p w14:paraId="2806744C" w14:textId="77777777" w:rsidR="005776EE" w:rsidRDefault="005776EE" w:rsidP="00973158">
      <w:pPr>
        <w:pStyle w:val="Heading3"/>
      </w:pPr>
      <w:bookmarkStart w:id="117" w:name="_Toc220069890"/>
      <w:r>
        <w:t>Right to access (APP 12)</w:t>
      </w:r>
      <w:bookmarkEnd w:id="117"/>
    </w:p>
    <w:p w14:paraId="1AA85949" w14:textId="24A6789A" w:rsidR="005776EE" w:rsidRDefault="005776EE" w:rsidP="00A30EAA">
      <w:pPr>
        <w:pStyle w:val="Body"/>
      </w:pPr>
      <w:r>
        <w:t>Individuals have a right to request access to personal information that the firm holds about them.</w:t>
      </w:r>
      <w:r>
        <w:rPr>
          <w:rStyle w:val="FootnoteReference"/>
        </w:rPr>
        <w:footnoteReference w:id="59"/>
      </w:r>
      <w:r>
        <w:t xml:space="preserve"> The firm must respond to such requests within a reasonable period</w:t>
      </w:r>
      <w:r w:rsidR="00A30EAA">
        <w:t>. T</w:t>
      </w:r>
      <w:r>
        <w:t>he OAIC indicates that 30 calendar days is generally reasonable.</w:t>
      </w:r>
      <w:r>
        <w:rPr>
          <w:rStyle w:val="FootnoteReference"/>
        </w:rPr>
        <w:footnoteReference w:id="60"/>
      </w:r>
      <w:r w:rsidR="00E841CE">
        <w:t xml:space="preserve"> Clients have always had the right to collect their file, but this extends to third parties.</w:t>
      </w:r>
    </w:p>
    <w:p w14:paraId="4775F88C" w14:textId="7C2C0151" w:rsidR="005776EE" w:rsidRDefault="005776EE" w:rsidP="00A30EAA">
      <w:pPr>
        <w:pStyle w:val="Body"/>
      </w:pPr>
      <w:r>
        <w:t xml:space="preserve">Access requests require no particular form </w:t>
      </w:r>
      <w:r w:rsidR="00A30EAA">
        <w:t xml:space="preserve">, </w:t>
      </w:r>
      <w:r>
        <w:t>they can be made verbally or in writing, and need not use specific language. Staff must be trained to recognise access requests.</w:t>
      </w:r>
    </w:p>
    <w:p w14:paraId="3F6BA1E8" w14:textId="77777777" w:rsidR="00B5500C" w:rsidRDefault="005776EE" w:rsidP="00A30EAA">
      <w:pPr>
        <w:pStyle w:val="Body"/>
      </w:pPr>
      <w:r>
        <w:t>There are exceptions that permit refusal of access in certain circumstances, including where access would reveal legally privileged information, would prejudice legal proceedings, or would reveal evaluative information in a commercially sensitive decision-making process.</w:t>
      </w:r>
      <w:r>
        <w:rPr>
          <w:rStyle w:val="FootnoteReference"/>
        </w:rPr>
        <w:footnoteReference w:id="61"/>
      </w:r>
      <w:r>
        <w:t xml:space="preserve"> </w:t>
      </w:r>
    </w:p>
    <w:p w14:paraId="13CCE116" w14:textId="254E1440" w:rsidR="005776EE" w:rsidRDefault="005776EE" w:rsidP="00A30EAA">
      <w:pPr>
        <w:pStyle w:val="Body"/>
      </w:pPr>
      <w:r>
        <w:t>These exceptions are particularly relevant to law firms.</w:t>
      </w:r>
      <w:r w:rsidR="00865D17">
        <w:t xml:space="preserve"> In practical terms, many requests by non-clients can be refused, however a structured process to assess and respond is needed. See cha</w:t>
      </w:r>
      <w:r>
        <w:t>pter 16 provides detailed guidance on handling access requests.</w:t>
      </w:r>
    </w:p>
    <w:p w14:paraId="3C7E4F26" w14:textId="347C4138" w:rsidR="004560F0" w:rsidRDefault="004560F0" w:rsidP="00A30EAA">
      <w:pPr>
        <w:pStyle w:val="Body"/>
      </w:pPr>
      <w:r>
        <w:t xml:space="preserve">Again, right of access </w:t>
      </w:r>
      <w:r w:rsidR="000F5753">
        <w:t>looks different for firms under or over the turnover threshold. For firms below</w:t>
      </w:r>
      <w:r w:rsidR="00094C98">
        <w:t>,</w:t>
      </w:r>
      <w:r w:rsidR="000F5753">
        <w:t xml:space="preserve"> only AML / CTF related holdings are subject to the access right. Most firms will </w:t>
      </w:r>
      <w:r w:rsidR="007A11E4">
        <w:t>hold little if any such</w:t>
      </w:r>
      <w:r w:rsidR="000F5753">
        <w:t xml:space="preserve"> </w:t>
      </w:r>
      <w:r w:rsidR="007A11E4">
        <w:t xml:space="preserve">data that </w:t>
      </w:r>
      <w:r w:rsidR="000F5753">
        <w:t>does not relate to clients</w:t>
      </w:r>
      <w:r w:rsidR="007A11E4">
        <w:rPr>
          <w:rStyle w:val="FootnoteReference"/>
        </w:rPr>
        <w:footnoteReference w:id="62"/>
      </w:r>
      <w:r w:rsidR="00797FF3">
        <w:t xml:space="preserve"> so there will likely be little practical application</w:t>
      </w:r>
      <w:r w:rsidR="00EB6343">
        <w:t>.</w:t>
      </w:r>
      <w:r w:rsidR="000F5753">
        <w:t xml:space="preserve"> </w:t>
      </w:r>
      <w:r w:rsidR="00C7362B">
        <w:t xml:space="preserve">Firms over the threshold </w:t>
      </w:r>
      <w:r w:rsidR="00A714F1">
        <w:t xml:space="preserve">might hold information about more non-clients with a prima-facie access right, but even in this case many exceptions will apply. </w:t>
      </w:r>
    </w:p>
    <w:p w14:paraId="583733BF" w14:textId="12B222DF" w:rsidR="00991162" w:rsidRDefault="00991162" w:rsidP="00A30EAA">
      <w:pPr>
        <w:pStyle w:val="Body"/>
      </w:pPr>
      <w:r>
        <w:t xml:space="preserve">Access to information where a firm has submitted a Suspicious Matter Report and terminated their retainer is complicated, and careful consideration is needed to avoid accidentally </w:t>
      </w:r>
      <w:r w:rsidR="00E67DDA">
        <w:t xml:space="preserve">“tipping off” the former client that an SMR has been submitted. </w:t>
      </w:r>
    </w:p>
    <w:p w14:paraId="35E3D4BF" w14:textId="77777777" w:rsidR="005776EE" w:rsidRDefault="005776EE" w:rsidP="00973158">
      <w:pPr>
        <w:pStyle w:val="Heading3"/>
      </w:pPr>
      <w:bookmarkStart w:id="118" w:name="_Toc220069891"/>
      <w:r>
        <w:t>Right to correction (APP 13)</w:t>
      </w:r>
      <w:bookmarkEnd w:id="118"/>
    </w:p>
    <w:p w14:paraId="00656F5E" w14:textId="2773D4DB" w:rsidR="005776EE" w:rsidRDefault="005776EE" w:rsidP="00A30EAA">
      <w:pPr>
        <w:pStyle w:val="Body"/>
      </w:pPr>
      <w:r>
        <w:t xml:space="preserve">Individuals have a right to request correction of </w:t>
      </w:r>
      <w:r w:rsidR="00A50569">
        <w:t xml:space="preserve">regulated </w:t>
      </w:r>
      <w:r>
        <w:t>personal information that is inaccurate, out of date, incomplete, irrelevant or misleading.</w:t>
      </w:r>
      <w:r>
        <w:rPr>
          <w:rStyle w:val="FootnoteReference"/>
        </w:rPr>
        <w:footnoteReference w:id="63"/>
      </w:r>
      <w:r>
        <w:t xml:space="preserve"> If the firm refuses to correct information as requested, it must give written notice of the refusal and allow the individual to request that a statement be associated with the information.</w:t>
      </w:r>
      <w:r>
        <w:rPr>
          <w:rStyle w:val="FootnoteReference"/>
        </w:rPr>
        <w:footnoteReference w:id="64"/>
      </w:r>
    </w:p>
    <w:p w14:paraId="4E6E23AB" w14:textId="449087E7" w:rsidR="005776EE" w:rsidRDefault="005776EE" w:rsidP="00A30EAA">
      <w:pPr>
        <w:pStyle w:val="Body"/>
      </w:pPr>
      <w:r>
        <w:t>For law firms, correction requests might relate to contact details, identification information, or factual assertions recorded in file notes or correspondence. Care must be taken not to alter information that forms part of the legal record of a matter.</w:t>
      </w:r>
      <w:r w:rsidR="007D777F">
        <w:t xml:space="preserve"> In most cases an accompanying notation indicating that a “fact” is in dispute is more appropriate.</w:t>
      </w:r>
    </w:p>
    <w:p w14:paraId="725B2BA4" w14:textId="77777777" w:rsidR="005776EE" w:rsidRDefault="005776EE" w:rsidP="00973158">
      <w:pPr>
        <w:pStyle w:val="Heading3"/>
      </w:pPr>
      <w:bookmarkStart w:id="119" w:name="_Toc220069892"/>
      <w:r>
        <w:t>Right to complain</w:t>
      </w:r>
      <w:bookmarkEnd w:id="119"/>
    </w:p>
    <w:p w14:paraId="2EA6169C" w14:textId="77777777" w:rsidR="005776EE" w:rsidRDefault="005776EE" w:rsidP="00A30EAA">
      <w:pPr>
        <w:pStyle w:val="Body"/>
      </w:pPr>
      <w:r>
        <w:t>Individuals have a right to complain to the firm if they believe their privacy has not been handled in accordance with the APPs. The firm should have an internal complaint handling process.</w:t>
      </w:r>
      <w:r>
        <w:rPr>
          <w:rStyle w:val="FootnoteReference"/>
        </w:rPr>
        <w:footnoteReference w:id="65"/>
      </w:r>
      <w:r>
        <w:t xml:space="preserve"> If a complaint is not resolved to the individual's satisfaction, they may escalate the complaint to the OAIC.</w:t>
      </w:r>
      <w:r>
        <w:rPr>
          <w:rStyle w:val="FootnoteReference"/>
        </w:rPr>
        <w:footnoteReference w:id="66"/>
      </w:r>
    </w:p>
    <w:p w14:paraId="34BE2508" w14:textId="77777777" w:rsidR="005776EE" w:rsidRDefault="005776EE" w:rsidP="00A30EAA">
      <w:pPr>
        <w:pStyle w:val="Body"/>
      </w:pPr>
      <w:r>
        <w:lastRenderedPageBreak/>
        <w:t>The firm's privacy policy must explain how individuals can complain and how complaints will be handled. Chapter 18 provides guidance on complaint handling.</w:t>
      </w:r>
    </w:p>
    <w:p w14:paraId="3FB661B6" w14:textId="77777777" w:rsidR="00AD2036" w:rsidRDefault="00AD2036">
      <w:pPr>
        <w:spacing w:after="0"/>
        <w:rPr>
          <w:b/>
          <w:color w:val="0F2D52"/>
          <w:sz w:val="28"/>
        </w:rPr>
      </w:pPr>
      <w:bookmarkStart w:id="120" w:name="_Toc220069893"/>
      <w:bookmarkStart w:id="121" w:name="_Toc220655075"/>
      <w:r>
        <w:br w:type="page"/>
      </w:r>
    </w:p>
    <w:p w14:paraId="73B44675" w14:textId="52CF4A39" w:rsidR="005776EE" w:rsidRDefault="00AD2036" w:rsidP="00A30EAA">
      <w:pPr>
        <w:pStyle w:val="NumberedHeading2"/>
      </w:pPr>
      <w:r>
        <w:lastRenderedPageBreak/>
        <w:t xml:space="preserve"> </w:t>
      </w:r>
      <w:bookmarkStart w:id="122" w:name="_Toc231895161"/>
      <w:r w:rsidR="005776EE">
        <w:t>What Stays the Same</w:t>
      </w:r>
      <w:bookmarkEnd w:id="120"/>
      <w:bookmarkEnd w:id="121"/>
      <w:bookmarkEnd w:id="122"/>
    </w:p>
    <w:p w14:paraId="65FFFBCD" w14:textId="67D6BCD6" w:rsidR="005776EE" w:rsidRDefault="005776EE" w:rsidP="00A30EAA">
      <w:pPr>
        <w:pStyle w:val="Body"/>
      </w:pPr>
      <w:r>
        <w:t xml:space="preserve">While privacy compliance introduces new requirements, it is important to recognise that the core of legal practice remains unchanged. Privacy obligations are </w:t>
      </w:r>
      <w:r>
        <w:rPr>
          <w:i/>
          <w:iCs/>
        </w:rPr>
        <w:t>additional</w:t>
      </w:r>
      <w:r>
        <w:t xml:space="preserve"> to existing obligations </w:t>
      </w:r>
      <w:r w:rsidR="00A30EAA">
        <w:t xml:space="preserve">, </w:t>
      </w:r>
      <w:r>
        <w:t>they do not replace or diminish them</w:t>
      </w:r>
      <w:r w:rsidR="0034304E">
        <w:t>.</w:t>
      </w:r>
    </w:p>
    <w:p w14:paraId="286BC6B5" w14:textId="77777777" w:rsidR="005776EE" w:rsidRDefault="005776EE" w:rsidP="00973158">
      <w:pPr>
        <w:pStyle w:val="Heading3"/>
      </w:pPr>
      <w:bookmarkStart w:id="123" w:name="_Toc220069894"/>
      <w:r>
        <w:t>Confidentiality duty continues</w:t>
      </w:r>
      <w:bookmarkEnd w:id="123"/>
    </w:p>
    <w:p w14:paraId="49B2E26C" w14:textId="77777777" w:rsidR="005776EE" w:rsidRDefault="005776EE" w:rsidP="00A30EAA">
      <w:pPr>
        <w:pStyle w:val="Body"/>
      </w:pPr>
      <w:r>
        <w:t>The solicitor's duty of confidentiality under the Australian Solicitors' Conduct Rules continues to apply.</w:t>
      </w:r>
      <w:r>
        <w:rPr>
          <w:rStyle w:val="FootnoteReference"/>
        </w:rPr>
        <w:footnoteReference w:id="67"/>
      </w:r>
      <w:r>
        <w:t xml:space="preserve"> Privacy obligations do not override, diminish, or replace this duty. Rather, they operate alongside it. A solicitor must continue to maintain confidentiality of client information </w:t>
      </w:r>
      <w:r>
        <w:rPr>
          <w:i/>
          <w:iCs/>
        </w:rPr>
        <w:t>and</w:t>
      </w:r>
      <w:r>
        <w:t xml:space="preserve"> comply with the APPs.</w:t>
      </w:r>
    </w:p>
    <w:p w14:paraId="6EA52CD0" w14:textId="77777777" w:rsidR="005776EE" w:rsidRDefault="005776EE" w:rsidP="00973158">
      <w:pPr>
        <w:pStyle w:val="Heading3"/>
      </w:pPr>
      <w:bookmarkStart w:id="124" w:name="_Toc220069895"/>
      <w:r>
        <w:t>Legal professional privilege protections continue</w:t>
      </w:r>
      <w:bookmarkEnd w:id="124"/>
    </w:p>
    <w:p w14:paraId="51B510C3" w14:textId="77777777" w:rsidR="005776EE" w:rsidRDefault="005776EE" w:rsidP="00A30EAA">
      <w:pPr>
        <w:pStyle w:val="Body"/>
      </w:pPr>
      <w:r>
        <w:t>Legal professional privilege continues to protect privileged communications.</w:t>
      </w:r>
      <w:r>
        <w:rPr>
          <w:rStyle w:val="FootnoteReference"/>
        </w:rPr>
        <w:footnoteReference w:id="68"/>
      </w:r>
      <w:r>
        <w:t xml:space="preserve"> The APPs do not override privilege. In particular:</w:t>
      </w:r>
    </w:p>
    <w:p w14:paraId="2A50E394" w14:textId="03416E5A" w:rsidR="005776EE" w:rsidRDefault="005776EE" w:rsidP="00A30EAA">
      <w:pPr>
        <w:pStyle w:val="ListParagraph"/>
        <w:numPr>
          <w:ilvl w:val="0"/>
          <w:numId w:val="20"/>
        </w:numPr>
      </w:pPr>
      <w:r>
        <w:t>APP 12 (access) includes an exception for information that would reveal information to which a claim to legal professional privilege applies;</w:t>
      </w:r>
      <w:r>
        <w:rPr>
          <w:rStyle w:val="FootnoteReference"/>
        </w:rPr>
        <w:footnoteReference w:id="69"/>
      </w:r>
    </w:p>
    <w:p w14:paraId="7C377D54" w14:textId="0BD576D7" w:rsidR="005776EE" w:rsidRDefault="005776EE" w:rsidP="00A30EAA">
      <w:pPr>
        <w:pStyle w:val="ListParagraph"/>
        <w:numPr>
          <w:ilvl w:val="0"/>
          <w:numId w:val="20"/>
        </w:numPr>
      </w:pPr>
      <w:r>
        <w:t>APP 12 includes exceptions for information relating to existing or anticipated legal proceedings;</w:t>
      </w:r>
      <w:r>
        <w:rPr>
          <w:rStyle w:val="FootnoteReference"/>
        </w:rPr>
        <w:footnoteReference w:id="70"/>
      </w:r>
    </w:p>
    <w:p w14:paraId="77CFF42D" w14:textId="1FFC99FA" w:rsidR="005776EE" w:rsidRDefault="005776EE" w:rsidP="00A30EAA">
      <w:pPr>
        <w:pStyle w:val="ListParagraph"/>
        <w:numPr>
          <w:ilvl w:val="0"/>
          <w:numId w:val="20"/>
        </w:numPr>
      </w:pPr>
      <w:r>
        <w:t>The privilege belongs to the client, and the client's ability to claim or waive privilege is unaffected by the APPs.</w:t>
      </w:r>
    </w:p>
    <w:p w14:paraId="7FD75B81" w14:textId="77777777" w:rsidR="005776EE" w:rsidRDefault="005776EE" w:rsidP="00973158">
      <w:pPr>
        <w:pStyle w:val="Heading3"/>
      </w:pPr>
      <w:bookmarkStart w:id="125" w:name="_Toc220069896"/>
      <w:r>
        <w:t>Core legal practice unchanged</w:t>
      </w:r>
      <w:bookmarkEnd w:id="125"/>
    </w:p>
    <w:p w14:paraId="03DE5921" w14:textId="77777777" w:rsidR="005776EE" w:rsidRDefault="005776EE" w:rsidP="00A30EAA">
      <w:pPr>
        <w:pStyle w:val="Body"/>
      </w:pPr>
      <w:r>
        <w:t>Privacy compliance does not change how legal services are provided. Solicitors continue to:</w:t>
      </w:r>
    </w:p>
    <w:p w14:paraId="040E04CF" w14:textId="47EBABD1" w:rsidR="005776EE" w:rsidRDefault="005776EE" w:rsidP="00A30EAA">
      <w:pPr>
        <w:pStyle w:val="ListParagraph"/>
        <w:numPr>
          <w:ilvl w:val="0"/>
          <w:numId w:val="20"/>
        </w:numPr>
      </w:pPr>
      <w:r>
        <w:t>Collect information necessary to provide legal services;</w:t>
      </w:r>
    </w:p>
    <w:p w14:paraId="28DB270F" w14:textId="1C3194A5" w:rsidR="005776EE" w:rsidRDefault="005776EE" w:rsidP="00A30EAA">
      <w:pPr>
        <w:pStyle w:val="ListParagraph"/>
        <w:numPr>
          <w:ilvl w:val="0"/>
          <w:numId w:val="20"/>
        </w:numPr>
      </w:pPr>
      <w:r>
        <w:t>Use that information for the purpose of providing those services;</w:t>
      </w:r>
    </w:p>
    <w:p w14:paraId="7A762437" w14:textId="25F7D9D0" w:rsidR="005776EE" w:rsidRDefault="005776EE" w:rsidP="00A30EAA">
      <w:pPr>
        <w:pStyle w:val="ListParagraph"/>
        <w:numPr>
          <w:ilvl w:val="0"/>
          <w:numId w:val="20"/>
        </w:numPr>
      </w:pPr>
      <w:r>
        <w:t>Disclose information as necessary to conduct matters (to courts, opposing parties, third parties);</w:t>
      </w:r>
    </w:p>
    <w:p w14:paraId="797713D8" w14:textId="4EF4A24A" w:rsidR="009C786B" w:rsidRDefault="005776EE" w:rsidP="00A30EAA">
      <w:pPr>
        <w:pStyle w:val="ListParagraph"/>
        <w:numPr>
          <w:ilvl w:val="0"/>
          <w:numId w:val="20"/>
        </w:numPr>
      </w:pPr>
      <w:r>
        <w:t>Retain files in accordance with professional obligations;</w:t>
      </w:r>
    </w:p>
    <w:p w14:paraId="5E96A58A" w14:textId="113B6EA2" w:rsidR="006B1DF6" w:rsidRDefault="006B1DF6" w:rsidP="00A30EAA">
      <w:pPr>
        <w:pStyle w:val="Body"/>
      </w:pPr>
      <w:r>
        <w:t xml:space="preserve">However, each firm must consider its information handling processes and determine whether collection and retention really is necessary. </w:t>
      </w:r>
      <w:r w:rsidR="00454EF5">
        <w:t>Material collected and stored out of habit should be identified and practices adjusted accordingly.</w:t>
      </w:r>
      <w:r w:rsidR="005E1047">
        <w:t xml:space="preserve"> Even if</w:t>
      </w:r>
      <w:r w:rsidR="00677D47">
        <w:t xml:space="preserve"> data is not regulated collection and retention practices </w:t>
      </w:r>
      <w:r w:rsidR="005E1047">
        <w:t xml:space="preserve">should be considered as part of this review. </w:t>
      </w:r>
      <w:r w:rsidR="005933A5">
        <w:t xml:space="preserve">Data captured and kept is an ongoing responsibility. If your firm does not have to expose itself to risk and ongoing management costs </w:t>
      </w:r>
      <w:r w:rsidR="001E387E">
        <w:t>not doing so benefits both the firm and the clients.</w:t>
      </w:r>
    </w:p>
    <w:p w14:paraId="5D440A00" w14:textId="6AFCA5F2" w:rsidR="005776EE" w:rsidRDefault="005776EE" w:rsidP="00A30EAA">
      <w:pPr>
        <w:pStyle w:val="Body"/>
      </w:pPr>
      <w:r>
        <w:t>What changes is that these activities must now be conducted within a documented privacy framework, with appropriate notices to individuals about information handling, and with procedures for responding to individual rights requests.</w:t>
      </w:r>
    </w:p>
    <w:tbl>
      <w:tblPr>
        <w:tblW w:w="5000" w:type="pct"/>
        <w:tblCellMar>
          <w:left w:w="10" w:type="dxa"/>
          <w:right w:w="10" w:type="dxa"/>
        </w:tblCellMar>
        <w:tblLook w:val="04A0" w:firstRow="1" w:lastRow="0" w:firstColumn="1" w:lastColumn="0" w:noHBand="0" w:noVBand="1"/>
      </w:tblPr>
      <w:tblGrid>
        <w:gridCol w:w="9026"/>
      </w:tblGrid>
      <w:tr w:rsidR="005776EE" w14:paraId="71DE401A" w14:textId="77777777" w:rsidTr="0011154A">
        <w:tc>
          <w:tcPr>
            <w:tcW w:w="9026" w:type="dxa"/>
            <w:shd w:val="clear" w:color="auto" w:fill="D4EDDA"/>
            <w:tcMar>
              <w:top w:w="160" w:type="dxa"/>
              <w:left w:w="200" w:type="dxa"/>
              <w:bottom w:w="160" w:type="dxa"/>
              <w:right w:w="200" w:type="dxa"/>
            </w:tcMar>
          </w:tcPr>
          <w:p w14:paraId="164096F7" w14:textId="77777777" w:rsidR="005776EE" w:rsidRDefault="005776EE" w:rsidP="00A30EAA">
            <w:pPr>
              <w:pStyle w:val="Body"/>
            </w:pPr>
            <w:r>
              <w:t>Key Message for Practitioners</w:t>
            </w:r>
          </w:p>
          <w:p w14:paraId="177D2DD1" w14:textId="6DD8990D" w:rsidR="00584F0C" w:rsidRDefault="005776EE" w:rsidP="00A30EAA">
            <w:pPr>
              <w:pStyle w:val="Body"/>
            </w:pPr>
            <w:r>
              <w:t xml:space="preserve">Privacy compliance is about how you document and manage information handling, not about </w:t>
            </w:r>
            <w:r w:rsidR="00985B63">
              <w:t xml:space="preserve">fundamentally </w:t>
            </w:r>
            <w:r>
              <w:t xml:space="preserve">changing how you practise law. </w:t>
            </w:r>
          </w:p>
          <w:p w14:paraId="763EE476" w14:textId="7F5C4001" w:rsidR="005776EE" w:rsidRDefault="005776EE" w:rsidP="00A30EAA">
            <w:pPr>
              <w:pStyle w:val="Body"/>
            </w:pPr>
            <w:r>
              <w:t xml:space="preserve">You will continue to collect information to serve clients, maintain confidentiality, and exercise professional judgment. The new requirements ensure that individuals understand how their information is handled and have rights to access and correct it </w:t>
            </w:r>
            <w:r w:rsidR="00A30EAA">
              <w:t xml:space="preserve">, </w:t>
            </w:r>
            <w:r>
              <w:t>principles that align with the values of the legal profession.</w:t>
            </w:r>
          </w:p>
          <w:p w14:paraId="46EC49F6" w14:textId="08486771" w:rsidR="00985B63" w:rsidRDefault="00985B63" w:rsidP="00A30EAA">
            <w:pPr>
              <w:pStyle w:val="Body"/>
            </w:pPr>
            <w:r>
              <w:lastRenderedPageBreak/>
              <w:t xml:space="preserve">It has always been a good idea not to collect and store </w:t>
            </w:r>
            <w:r w:rsidR="00DA09FA">
              <w:t xml:space="preserve">more confidential / sensitive data than you have to. </w:t>
            </w:r>
          </w:p>
        </w:tc>
      </w:tr>
    </w:tbl>
    <w:p w14:paraId="794DD016" w14:textId="77777777" w:rsidR="001F3BAF" w:rsidRDefault="001F3BAF">
      <w:pPr>
        <w:spacing w:after="0"/>
        <w:rPr>
          <w:b/>
          <w:bCs/>
          <w:color w:val="0F2D52"/>
          <w:kern w:val="32"/>
          <w:sz w:val="32"/>
          <w:szCs w:val="32"/>
        </w:rPr>
      </w:pPr>
      <w:bookmarkStart w:id="126" w:name="_Toc220069897"/>
      <w:bookmarkStart w:id="127" w:name="_Toc220655076"/>
      <w:r>
        <w:br w:type="page"/>
      </w:r>
    </w:p>
    <w:p w14:paraId="2A9D75F4" w14:textId="5BBBEADD" w:rsidR="005776EE" w:rsidRDefault="00C52FBC" w:rsidP="00A82687">
      <w:pPr>
        <w:pStyle w:val="NumberedHeading1"/>
      </w:pPr>
      <w:bookmarkStart w:id="128" w:name="_Toc231895162"/>
      <w:bookmarkEnd w:id="126"/>
      <w:bookmarkEnd w:id="127"/>
      <w:r>
        <w:lastRenderedPageBreak/>
        <w:t>Getting ready for privacy compliance.</w:t>
      </w:r>
      <w:bookmarkEnd w:id="128"/>
    </w:p>
    <w:p w14:paraId="75C2DAFE" w14:textId="77777777" w:rsidR="005776EE" w:rsidRDefault="005776EE" w:rsidP="00A30EAA">
      <w:pPr>
        <w:pStyle w:val="Body"/>
      </w:pPr>
      <w:r>
        <w:t>Before implementing new privacy compliance measures, it is valuable to assess your firm's current practices. Many law firms already have practices in place that contribute to privacy compliance — they simply have not been documented or labelled as such. This chapter provides assessment tools to help you identify what you already do well and where gaps exist.</w:t>
      </w:r>
    </w:p>
    <w:p w14:paraId="4F583BCE" w14:textId="567842FE" w:rsidR="005776EE" w:rsidRDefault="0071774E" w:rsidP="00A30EAA">
      <w:pPr>
        <w:pStyle w:val="NumberedHeading2"/>
      </w:pPr>
      <w:bookmarkStart w:id="129" w:name="_Toc231895163"/>
      <w:r>
        <w:t xml:space="preserve">Assess what you have and </w:t>
      </w:r>
      <w:r w:rsidR="00554997">
        <w:t>list what you need</w:t>
      </w:r>
      <w:bookmarkEnd w:id="129"/>
    </w:p>
    <w:tbl>
      <w:tblPr>
        <w:tblW w:w="5000" w:type="pct"/>
        <w:tblCellMar>
          <w:left w:w="10" w:type="dxa"/>
          <w:right w:w="10" w:type="dxa"/>
        </w:tblCellMar>
        <w:tblLook w:val="04A0" w:firstRow="1" w:lastRow="0" w:firstColumn="1" w:lastColumn="0" w:noHBand="0" w:noVBand="1"/>
      </w:tblPr>
      <w:tblGrid>
        <w:gridCol w:w="2337"/>
        <w:gridCol w:w="4204"/>
        <w:gridCol w:w="1304"/>
        <w:gridCol w:w="632"/>
        <w:gridCol w:w="549"/>
      </w:tblGrid>
      <w:tr w:rsidR="005776EE" w14:paraId="0269CAF8" w14:textId="77777777" w:rsidTr="000E1801">
        <w:tc>
          <w:tcPr>
            <w:tcW w:w="2336" w:type="dxa"/>
            <w:shd w:val="clear" w:color="auto" w:fill="0F2D52"/>
            <w:tcMar>
              <w:top w:w="100" w:type="dxa"/>
              <w:left w:w="120" w:type="dxa"/>
              <w:bottom w:w="100" w:type="dxa"/>
              <w:right w:w="120" w:type="dxa"/>
            </w:tcMar>
          </w:tcPr>
          <w:p w14:paraId="6A9FF561" w14:textId="77777777" w:rsidR="005776EE" w:rsidRPr="009667D3" w:rsidRDefault="005776EE" w:rsidP="000E1801">
            <w:pPr>
              <w:pStyle w:val="TableHeading"/>
            </w:pPr>
            <w:r w:rsidRPr="009667D3">
              <w:t>Privacy Requirement</w:t>
            </w:r>
          </w:p>
        </w:tc>
        <w:tc>
          <w:tcPr>
            <w:tcW w:w="4203" w:type="dxa"/>
            <w:shd w:val="clear" w:color="auto" w:fill="0F2D52"/>
            <w:tcMar>
              <w:top w:w="100" w:type="dxa"/>
              <w:left w:w="120" w:type="dxa"/>
              <w:bottom w:w="100" w:type="dxa"/>
              <w:right w:w="120" w:type="dxa"/>
            </w:tcMar>
          </w:tcPr>
          <w:p w14:paraId="15957790" w14:textId="77777777" w:rsidR="005776EE" w:rsidRPr="009667D3" w:rsidRDefault="005776EE" w:rsidP="000E1801">
            <w:pPr>
              <w:pStyle w:val="TableHeading"/>
            </w:pPr>
            <w:r w:rsidRPr="009667D3">
              <w:t>Assessment Question</w:t>
            </w:r>
          </w:p>
        </w:tc>
        <w:tc>
          <w:tcPr>
            <w:tcW w:w="1304" w:type="dxa"/>
            <w:shd w:val="clear" w:color="auto" w:fill="0F2D52"/>
            <w:tcMar>
              <w:top w:w="100" w:type="dxa"/>
              <w:left w:w="120" w:type="dxa"/>
              <w:bottom w:w="100" w:type="dxa"/>
              <w:right w:w="120" w:type="dxa"/>
            </w:tcMar>
          </w:tcPr>
          <w:p w14:paraId="22188351" w14:textId="77777777" w:rsidR="005776EE" w:rsidRPr="009667D3" w:rsidRDefault="005776EE" w:rsidP="000E1801">
            <w:pPr>
              <w:pStyle w:val="TableHeading"/>
            </w:pPr>
            <w:r w:rsidRPr="009667D3">
              <w:t>Toolkit Reference</w:t>
            </w:r>
          </w:p>
        </w:tc>
        <w:tc>
          <w:tcPr>
            <w:tcW w:w="632" w:type="dxa"/>
            <w:shd w:val="clear" w:color="auto" w:fill="0F2D52"/>
            <w:tcMar>
              <w:top w:w="100" w:type="dxa"/>
              <w:left w:w="120" w:type="dxa"/>
              <w:bottom w:w="100" w:type="dxa"/>
              <w:right w:w="120" w:type="dxa"/>
            </w:tcMar>
          </w:tcPr>
          <w:p w14:paraId="21727027" w14:textId="77777777" w:rsidR="005776EE" w:rsidRPr="009667D3" w:rsidRDefault="005776EE" w:rsidP="000E1801">
            <w:pPr>
              <w:pStyle w:val="TableHeading"/>
            </w:pPr>
            <w:r w:rsidRPr="009667D3">
              <w:t>Yes</w:t>
            </w:r>
          </w:p>
        </w:tc>
        <w:tc>
          <w:tcPr>
            <w:tcW w:w="549" w:type="dxa"/>
            <w:shd w:val="clear" w:color="auto" w:fill="0F2D52"/>
            <w:tcMar>
              <w:top w:w="100" w:type="dxa"/>
              <w:left w:w="120" w:type="dxa"/>
              <w:bottom w:w="100" w:type="dxa"/>
              <w:right w:w="120" w:type="dxa"/>
            </w:tcMar>
          </w:tcPr>
          <w:p w14:paraId="3E4544B6" w14:textId="77777777" w:rsidR="005776EE" w:rsidRPr="009667D3" w:rsidRDefault="005776EE" w:rsidP="000E1801">
            <w:pPr>
              <w:pStyle w:val="TableHeading"/>
            </w:pPr>
            <w:r w:rsidRPr="009667D3">
              <w:t>No</w:t>
            </w:r>
          </w:p>
        </w:tc>
      </w:tr>
      <w:tr w:rsidR="005776EE" w14:paraId="0172E6E4" w14:textId="77777777" w:rsidTr="000E1801">
        <w:tc>
          <w:tcPr>
            <w:tcW w:w="2336" w:type="dxa"/>
            <w:tcBorders>
              <w:bottom w:val="single" w:sz="4" w:space="0" w:color="auto"/>
            </w:tcBorders>
            <w:tcMar>
              <w:top w:w="100" w:type="dxa"/>
              <w:left w:w="120" w:type="dxa"/>
              <w:bottom w:w="100" w:type="dxa"/>
              <w:right w:w="120" w:type="dxa"/>
            </w:tcMar>
          </w:tcPr>
          <w:p w14:paraId="2F9C3F32" w14:textId="77777777" w:rsidR="005776EE" w:rsidRDefault="005776EE" w:rsidP="0011154A">
            <w:pPr>
              <w:pStyle w:val="Tablecontent"/>
            </w:pPr>
            <w:r>
              <w:t>Published privacy policy</w:t>
            </w:r>
          </w:p>
        </w:tc>
        <w:tc>
          <w:tcPr>
            <w:tcW w:w="4203" w:type="dxa"/>
            <w:tcBorders>
              <w:bottom w:val="single" w:sz="4" w:space="0" w:color="auto"/>
            </w:tcBorders>
            <w:tcMar>
              <w:top w:w="100" w:type="dxa"/>
              <w:left w:w="120" w:type="dxa"/>
              <w:bottom w:w="100" w:type="dxa"/>
              <w:right w:w="120" w:type="dxa"/>
            </w:tcMar>
          </w:tcPr>
          <w:p w14:paraId="1831365D" w14:textId="77777777" w:rsidR="005776EE" w:rsidRDefault="005776EE" w:rsidP="0011154A">
            <w:pPr>
              <w:pStyle w:val="Tablecontent"/>
            </w:pPr>
            <w:r>
              <w:t>Does your firm have a privacy policy published on its website that describes how you handle personal information?</w:t>
            </w:r>
          </w:p>
        </w:tc>
        <w:tc>
          <w:tcPr>
            <w:tcW w:w="1304" w:type="dxa"/>
            <w:tcBorders>
              <w:bottom w:val="single" w:sz="4" w:space="0" w:color="auto"/>
            </w:tcBorders>
            <w:tcMar>
              <w:top w:w="100" w:type="dxa"/>
              <w:left w:w="120" w:type="dxa"/>
              <w:bottom w:w="100" w:type="dxa"/>
              <w:right w:w="120" w:type="dxa"/>
            </w:tcMar>
          </w:tcPr>
          <w:p w14:paraId="32FF460F" w14:textId="77777777" w:rsidR="005776EE" w:rsidRDefault="005776EE" w:rsidP="0011154A">
            <w:pPr>
              <w:pStyle w:val="Tablecontent"/>
            </w:pPr>
            <w:r>
              <w:t>Doc 01</w:t>
            </w:r>
          </w:p>
        </w:tc>
        <w:tc>
          <w:tcPr>
            <w:tcW w:w="632" w:type="dxa"/>
            <w:tcBorders>
              <w:bottom w:val="single" w:sz="4" w:space="0" w:color="auto"/>
            </w:tcBorders>
            <w:tcMar>
              <w:top w:w="100" w:type="dxa"/>
              <w:left w:w="120" w:type="dxa"/>
              <w:bottom w:w="100" w:type="dxa"/>
              <w:right w:w="120" w:type="dxa"/>
            </w:tcMar>
          </w:tcPr>
          <w:p w14:paraId="062F70BD" w14:textId="77777777" w:rsidR="005776EE" w:rsidRDefault="005776EE" w:rsidP="0011154A">
            <w:pPr>
              <w:pStyle w:val="Tablecontent"/>
            </w:pPr>
            <w:r>
              <w:rPr>
                <w:rFonts w:ascii="Segoe UI Symbol" w:hAnsi="Segoe UI Symbol" w:cs="Segoe UI Symbol"/>
              </w:rPr>
              <w:t>☐</w:t>
            </w:r>
          </w:p>
        </w:tc>
        <w:tc>
          <w:tcPr>
            <w:tcW w:w="549" w:type="dxa"/>
            <w:tcBorders>
              <w:bottom w:val="single" w:sz="4" w:space="0" w:color="auto"/>
            </w:tcBorders>
            <w:tcMar>
              <w:top w:w="100" w:type="dxa"/>
              <w:left w:w="120" w:type="dxa"/>
              <w:bottom w:w="100" w:type="dxa"/>
              <w:right w:w="120" w:type="dxa"/>
            </w:tcMar>
          </w:tcPr>
          <w:p w14:paraId="6504BA7B" w14:textId="77777777" w:rsidR="005776EE" w:rsidRDefault="005776EE" w:rsidP="0011154A">
            <w:pPr>
              <w:pStyle w:val="Tablecontent"/>
            </w:pPr>
            <w:r>
              <w:rPr>
                <w:rFonts w:ascii="Segoe UI Symbol" w:hAnsi="Segoe UI Symbol" w:cs="Segoe UI Symbol"/>
              </w:rPr>
              <w:t>☐</w:t>
            </w:r>
          </w:p>
        </w:tc>
      </w:tr>
      <w:tr w:rsidR="005776EE" w14:paraId="2540CEC8" w14:textId="77777777" w:rsidTr="000E1801">
        <w:tc>
          <w:tcPr>
            <w:tcW w:w="2336" w:type="dxa"/>
            <w:tcBorders>
              <w:top w:val="single" w:sz="4" w:space="0" w:color="auto"/>
              <w:bottom w:val="single" w:sz="4" w:space="0" w:color="auto"/>
            </w:tcBorders>
            <w:tcMar>
              <w:top w:w="100" w:type="dxa"/>
              <w:left w:w="120" w:type="dxa"/>
              <w:bottom w:w="100" w:type="dxa"/>
              <w:right w:w="120" w:type="dxa"/>
            </w:tcMar>
          </w:tcPr>
          <w:p w14:paraId="30106304" w14:textId="77777777" w:rsidR="005776EE" w:rsidRDefault="005776EE" w:rsidP="0011154A">
            <w:pPr>
              <w:pStyle w:val="Tablecontent"/>
            </w:pPr>
            <w:r>
              <w:t>Collection notices</w:t>
            </w:r>
          </w:p>
        </w:tc>
        <w:tc>
          <w:tcPr>
            <w:tcW w:w="4203" w:type="dxa"/>
            <w:tcBorders>
              <w:top w:val="single" w:sz="4" w:space="0" w:color="auto"/>
              <w:bottom w:val="single" w:sz="4" w:space="0" w:color="auto"/>
            </w:tcBorders>
            <w:tcMar>
              <w:top w:w="100" w:type="dxa"/>
              <w:left w:w="120" w:type="dxa"/>
              <w:bottom w:w="100" w:type="dxa"/>
              <w:right w:w="120" w:type="dxa"/>
            </w:tcMar>
          </w:tcPr>
          <w:p w14:paraId="7FB34E0B" w14:textId="77777777" w:rsidR="005776EE" w:rsidRDefault="005776EE" w:rsidP="0011154A">
            <w:pPr>
              <w:pStyle w:val="Tablecontent"/>
            </w:pPr>
            <w:r>
              <w:t>Does your firm provide written notices to clients explaining what personal information you collect and why?</w:t>
            </w:r>
          </w:p>
        </w:tc>
        <w:tc>
          <w:tcPr>
            <w:tcW w:w="1304" w:type="dxa"/>
            <w:tcBorders>
              <w:top w:val="single" w:sz="4" w:space="0" w:color="auto"/>
              <w:bottom w:val="single" w:sz="4" w:space="0" w:color="auto"/>
            </w:tcBorders>
            <w:tcMar>
              <w:top w:w="100" w:type="dxa"/>
              <w:left w:w="120" w:type="dxa"/>
              <w:bottom w:w="100" w:type="dxa"/>
              <w:right w:w="120" w:type="dxa"/>
            </w:tcMar>
          </w:tcPr>
          <w:p w14:paraId="1CC5ED2E" w14:textId="77777777" w:rsidR="005776EE" w:rsidRDefault="005776EE" w:rsidP="0011154A">
            <w:pPr>
              <w:pStyle w:val="Tablecontent"/>
            </w:pPr>
            <w:r>
              <w:t>Doc 02</w:t>
            </w:r>
          </w:p>
        </w:tc>
        <w:tc>
          <w:tcPr>
            <w:tcW w:w="632" w:type="dxa"/>
            <w:tcBorders>
              <w:top w:val="single" w:sz="4" w:space="0" w:color="auto"/>
              <w:bottom w:val="single" w:sz="4" w:space="0" w:color="auto"/>
            </w:tcBorders>
            <w:tcMar>
              <w:top w:w="100" w:type="dxa"/>
              <w:left w:w="120" w:type="dxa"/>
              <w:bottom w:w="100" w:type="dxa"/>
              <w:right w:w="120" w:type="dxa"/>
            </w:tcMar>
          </w:tcPr>
          <w:p w14:paraId="7028AC3D" w14:textId="77777777" w:rsidR="005776EE" w:rsidRDefault="005776EE" w:rsidP="0011154A">
            <w:pPr>
              <w:pStyle w:val="Tablecontent"/>
            </w:pPr>
            <w:r>
              <w:rPr>
                <w:rFonts w:ascii="Segoe UI Symbol" w:hAnsi="Segoe UI Symbol" w:cs="Segoe UI Symbol"/>
              </w:rPr>
              <w:t>☐</w:t>
            </w:r>
          </w:p>
        </w:tc>
        <w:tc>
          <w:tcPr>
            <w:tcW w:w="549" w:type="dxa"/>
            <w:tcBorders>
              <w:top w:val="single" w:sz="4" w:space="0" w:color="auto"/>
              <w:bottom w:val="single" w:sz="4" w:space="0" w:color="auto"/>
            </w:tcBorders>
            <w:tcMar>
              <w:top w:w="100" w:type="dxa"/>
              <w:left w:w="120" w:type="dxa"/>
              <w:bottom w:w="100" w:type="dxa"/>
              <w:right w:w="120" w:type="dxa"/>
            </w:tcMar>
          </w:tcPr>
          <w:p w14:paraId="636498A5" w14:textId="77777777" w:rsidR="005776EE" w:rsidRDefault="005776EE" w:rsidP="0011154A">
            <w:pPr>
              <w:pStyle w:val="Tablecontent"/>
            </w:pPr>
            <w:r>
              <w:rPr>
                <w:rFonts w:ascii="Segoe UI Symbol" w:hAnsi="Segoe UI Symbol" w:cs="Segoe UI Symbol"/>
              </w:rPr>
              <w:t>☐</w:t>
            </w:r>
          </w:p>
        </w:tc>
      </w:tr>
      <w:tr w:rsidR="005776EE" w14:paraId="6EDF74F4" w14:textId="77777777" w:rsidTr="000E1801">
        <w:tc>
          <w:tcPr>
            <w:tcW w:w="2336" w:type="dxa"/>
            <w:tcBorders>
              <w:top w:val="single" w:sz="4" w:space="0" w:color="auto"/>
              <w:bottom w:val="single" w:sz="4" w:space="0" w:color="auto"/>
            </w:tcBorders>
            <w:tcMar>
              <w:top w:w="100" w:type="dxa"/>
              <w:left w:w="120" w:type="dxa"/>
              <w:bottom w:w="100" w:type="dxa"/>
              <w:right w:w="120" w:type="dxa"/>
            </w:tcMar>
          </w:tcPr>
          <w:p w14:paraId="42498428" w14:textId="77777777" w:rsidR="005776EE" w:rsidRDefault="005776EE" w:rsidP="0011154A">
            <w:pPr>
              <w:pStyle w:val="Tablecontent"/>
            </w:pPr>
            <w:r>
              <w:t>Personal information inventory</w:t>
            </w:r>
          </w:p>
        </w:tc>
        <w:tc>
          <w:tcPr>
            <w:tcW w:w="4203" w:type="dxa"/>
            <w:tcBorders>
              <w:top w:val="single" w:sz="4" w:space="0" w:color="auto"/>
              <w:bottom w:val="single" w:sz="4" w:space="0" w:color="auto"/>
            </w:tcBorders>
            <w:tcMar>
              <w:top w:w="100" w:type="dxa"/>
              <w:left w:w="120" w:type="dxa"/>
              <w:bottom w:w="100" w:type="dxa"/>
              <w:right w:w="120" w:type="dxa"/>
            </w:tcMar>
          </w:tcPr>
          <w:p w14:paraId="195FC089" w14:textId="77777777" w:rsidR="005776EE" w:rsidRDefault="005776EE" w:rsidP="0011154A">
            <w:pPr>
              <w:pStyle w:val="Tablecontent"/>
            </w:pPr>
            <w:r>
              <w:t>Does your firm maintain a register of the categories of personal information held and where it is stored?</w:t>
            </w:r>
          </w:p>
        </w:tc>
        <w:tc>
          <w:tcPr>
            <w:tcW w:w="1304" w:type="dxa"/>
            <w:tcBorders>
              <w:top w:val="single" w:sz="4" w:space="0" w:color="auto"/>
              <w:bottom w:val="single" w:sz="4" w:space="0" w:color="auto"/>
            </w:tcBorders>
            <w:tcMar>
              <w:top w:w="100" w:type="dxa"/>
              <w:left w:w="120" w:type="dxa"/>
              <w:bottom w:w="100" w:type="dxa"/>
              <w:right w:w="120" w:type="dxa"/>
            </w:tcMar>
          </w:tcPr>
          <w:p w14:paraId="0969FE9F" w14:textId="77777777" w:rsidR="005776EE" w:rsidRDefault="005776EE" w:rsidP="0011154A">
            <w:pPr>
              <w:pStyle w:val="Tablecontent"/>
            </w:pPr>
            <w:r>
              <w:t>Doc 03</w:t>
            </w:r>
          </w:p>
        </w:tc>
        <w:tc>
          <w:tcPr>
            <w:tcW w:w="632" w:type="dxa"/>
            <w:tcBorders>
              <w:top w:val="single" w:sz="4" w:space="0" w:color="auto"/>
              <w:bottom w:val="single" w:sz="4" w:space="0" w:color="auto"/>
            </w:tcBorders>
            <w:tcMar>
              <w:top w:w="100" w:type="dxa"/>
              <w:left w:w="120" w:type="dxa"/>
              <w:bottom w:w="100" w:type="dxa"/>
              <w:right w:w="120" w:type="dxa"/>
            </w:tcMar>
          </w:tcPr>
          <w:p w14:paraId="4259CBBD" w14:textId="77777777" w:rsidR="005776EE" w:rsidRDefault="005776EE" w:rsidP="0011154A">
            <w:pPr>
              <w:pStyle w:val="Tablecontent"/>
            </w:pPr>
            <w:r>
              <w:rPr>
                <w:rFonts w:ascii="Segoe UI Symbol" w:hAnsi="Segoe UI Symbol" w:cs="Segoe UI Symbol"/>
              </w:rPr>
              <w:t>☐</w:t>
            </w:r>
          </w:p>
        </w:tc>
        <w:tc>
          <w:tcPr>
            <w:tcW w:w="549" w:type="dxa"/>
            <w:tcBorders>
              <w:top w:val="single" w:sz="4" w:space="0" w:color="auto"/>
              <w:bottom w:val="single" w:sz="4" w:space="0" w:color="auto"/>
            </w:tcBorders>
            <w:tcMar>
              <w:top w:w="100" w:type="dxa"/>
              <w:left w:w="120" w:type="dxa"/>
              <w:bottom w:w="100" w:type="dxa"/>
              <w:right w:w="120" w:type="dxa"/>
            </w:tcMar>
          </w:tcPr>
          <w:p w14:paraId="09E9F16C" w14:textId="77777777" w:rsidR="005776EE" w:rsidRDefault="005776EE" w:rsidP="0011154A">
            <w:pPr>
              <w:pStyle w:val="Tablecontent"/>
            </w:pPr>
            <w:r>
              <w:rPr>
                <w:rFonts w:ascii="Segoe UI Symbol" w:hAnsi="Segoe UI Symbol" w:cs="Segoe UI Symbol"/>
              </w:rPr>
              <w:t>☐</w:t>
            </w:r>
          </w:p>
        </w:tc>
      </w:tr>
      <w:tr w:rsidR="005776EE" w14:paraId="43A35BD5" w14:textId="77777777" w:rsidTr="000E1801">
        <w:tc>
          <w:tcPr>
            <w:tcW w:w="2336" w:type="dxa"/>
            <w:tcBorders>
              <w:top w:val="single" w:sz="4" w:space="0" w:color="auto"/>
              <w:bottom w:val="single" w:sz="4" w:space="0" w:color="auto"/>
            </w:tcBorders>
            <w:tcMar>
              <w:top w:w="100" w:type="dxa"/>
              <w:left w:w="120" w:type="dxa"/>
              <w:bottom w:w="100" w:type="dxa"/>
              <w:right w:w="120" w:type="dxa"/>
            </w:tcMar>
          </w:tcPr>
          <w:p w14:paraId="0D96A1BD" w14:textId="77777777" w:rsidR="005776EE" w:rsidRDefault="005776EE" w:rsidP="0011154A">
            <w:pPr>
              <w:pStyle w:val="Tablecontent"/>
            </w:pPr>
            <w:r>
              <w:t>Documented retention schedule</w:t>
            </w:r>
          </w:p>
        </w:tc>
        <w:tc>
          <w:tcPr>
            <w:tcW w:w="4203" w:type="dxa"/>
            <w:tcBorders>
              <w:top w:val="single" w:sz="4" w:space="0" w:color="auto"/>
              <w:bottom w:val="single" w:sz="4" w:space="0" w:color="auto"/>
            </w:tcBorders>
            <w:tcMar>
              <w:top w:w="100" w:type="dxa"/>
              <w:left w:w="120" w:type="dxa"/>
              <w:bottom w:w="100" w:type="dxa"/>
              <w:right w:w="120" w:type="dxa"/>
            </w:tcMar>
          </w:tcPr>
          <w:p w14:paraId="66C7951E" w14:textId="77777777" w:rsidR="005776EE" w:rsidRDefault="005776EE" w:rsidP="0011154A">
            <w:pPr>
              <w:pStyle w:val="Tablecontent"/>
            </w:pPr>
            <w:r>
              <w:t>Does your firm have a documented schedule specifying retention periods for different types of records?</w:t>
            </w:r>
          </w:p>
        </w:tc>
        <w:tc>
          <w:tcPr>
            <w:tcW w:w="1304" w:type="dxa"/>
            <w:tcBorders>
              <w:top w:val="single" w:sz="4" w:space="0" w:color="auto"/>
              <w:bottom w:val="single" w:sz="4" w:space="0" w:color="auto"/>
            </w:tcBorders>
            <w:tcMar>
              <w:top w:w="100" w:type="dxa"/>
              <w:left w:w="120" w:type="dxa"/>
              <w:bottom w:w="100" w:type="dxa"/>
              <w:right w:w="120" w:type="dxa"/>
            </w:tcMar>
          </w:tcPr>
          <w:p w14:paraId="11B0885A" w14:textId="77777777" w:rsidR="005776EE" w:rsidRDefault="005776EE" w:rsidP="0011154A">
            <w:pPr>
              <w:pStyle w:val="Tablecontent"/>
            </w:pPr>
            <w:r>
              <w:t>Doc 04</w:t>
            </w:r>
          </w:p>
        </w:tc>
        <w:tc>
          <w:tcPr>
            <w:tcW w:w="632" w:type="dxa"/>
            <w:tcBorders>
              <w:top w:val="single" w:sz="4" w:space="0" w:color="auto"/>
              <w:bottom w:val="single" w:sz="4" w:space="0" w:color="auto"/>
            </w:tcBorders>
            <w:tcMar>
              <w:top w:w="100" w:type="dxa"/>
              <w:left w:w="120" w:type="dxa"/>
              <w:bottom w:w="100" w:type="dxa"/>
              <w:right w:w="120" w:type="dxa"/>
            </w:tcMar>
          </w:tcPr>
          <w:p w14:paraId="3C6BA01D" w14:textId="77777777" w:rsidR="005776EE" w:rsidRDefault="005776EE" w:rsidP="0011154A">
            <w:pPr>
              <w:pStyle w:val="Tablecontent"/>
            </w:pPr>
            <w:r>
              <w:rPr>
                <w:rFonts w:ascii="Segoe UI Symbol" w:hAnsi="Segoe UI Symbol" w:cs="Segoe UI Symbol"/>
              </w:rPr>
              <w:t>☐</w:t>
            </w:r>
          </w:p>
        </w:tc>
        <w:tc>
          <w:tcPr>
            <w:tcW w:w="549" w:type="dxa"/>
            <w:tcBorders>
              <w:top w:val="single" w:sz="4" w:space="0" w:color="auto"/>
              <w:bottom w:val="single" w:sz="4" w:space="0" w:color="auto"/>
            </w:tcBorders>
            <w:tcMar>
              <w:top w:w="100" w:type="dxa"/>
              <w:left w:w="120" w:type="dxa"/>
              <w:bottom w:w="100" w:type="dxa"/>
              <w:right w:w="120" w:type="dxa"/>
            </w:tcMar>
          </w:tcPr>
          <w:p w14:paraId="07EA53F4" w14:textId="77777777" w:rsidR="005776EE" w:rsidRDefault="005776EE" w:rsidP="0011154A">
            <w:pPr>
              <w:pStyle w:val="Tablecontent"/>
            </w:pPr>
            <w:r>
              <w:rPr>
                <w:rFonts w:ascii="Segoe UI Symbol" w:hAnsi="Segoe UI Symbol" w:cs="Segoe UI Symbol"/>
              </w:rPr>
              <w:t>☐</w:t>
            </w:r>
          </w:p>
        </w:tc>
      </w:tr>
      <w:tr w:rsidR="005776EE" w14:paraId="0B2A0EDF" w14:textId="77777777" w:rsidTr="000E1801">
        <w:tc>
          <w:tcPr>
            <w:tcW w:w="2336" w:type="dxa"/>
            <w:tcBorders>
              <w:top w:val="single" w:sz="4" w:space="0" w:color="auto"/>
              <w:bottom w:val="single" w:sz="4" w:space="0" w:color="auto"/>
            </w:tcBorders>
            <w:tcMar>
              <w:top w:w="100" w:type="dxa"/>
              <w:left w:w="120" w:type="dxa"/>
              <w:bottom w:w="100" w:type="dxa"/>
              <w:right w:w="120" w:type="dxa"/>
            </w:tcMar>
          </w:tcPr>
          <w:p w14:paraId="6D06C9F3" w14:textId="77777777" w:rsidR="005776EE" w:rsidRDefault="005776EE" w:rsidP="0011154A">
            <w:pPr>
              <w:pStyle w:val="Tablecontent"/>
            </w:pPr>
            <w:r>
              <w:t>Data breach response plan</w:t>
            </w:r>
          </w:p>
        </w:tc>
        <w:tc>
          <w:tcPr>
            <w:tcW w:w="4203" w:type="dxa"/>
            <w:tcBorders>
              <w:top w:val="single" w:sz="4" w:space="0" w:color="auto"/>
              <w:bottom w:val="single" w:sz="4" w:space="0" w:color="auto"/>
            </w:tcBorders>
            <w:tcMar>
              <w:top w:w="100" w:type="dxa"/>
              <w:left w:w="120" w:type="dxa"/>
              <w:bottom w:w="100" w:type="dxa"/>
              <w:right w:w="120" w:type="dxa"/>
            </w:tcMar>
          </w:tcPr>
          <w:p w14:paraId="387E6BBC" w14:textId="77777777" w:rsidR="005776EE" w:rsidRDefault="005776EE" w:rsidP="0011154A">
            <w:pPr>
              <w:pStyle w:val="Tablecontent"/>
            </w:pPr>
            <w:r>
              <w:t>Does your firm have a documented plan for responding to data breaches, including notification procedures?</w:t>
            </w:r>
          </w:p>
        </w:tc>
        <w:tc>
          <w:tcPr>
            <w:tcW w:w="1304" w:type="dxa"/>
            <w:tcBorders>
              <w:top w:val="single" w:sz="4" w:space="0" w:color="auto"/>
              <w:bottom w:val="single" w:sz="4" w:space="0" w:color="auto"/>
            </w:tcBorders>
            <w:tcMar>
              <w:top w:w="100" w:type="dxa"/>
              <w:left w:w="120" w:type="dxa"/>
              <w:bottom w:w="100" w:type="dxa"/>
              <w:right w:w="120" w:type="dxa"/>
            </w:tcMar>
          </w:tcPr>
          <w:p w14:paraId="64F7D9E5" w14:textId="77777777" w:rsidR="005776EE" w:rsidRDefault="005776EE" w:rsidP="0011154A">
            <w:pPr>
              <w:pStyle w:val="Tablecontent"/>
            </w:pPr>
            <w:r>
              <w:t>Doc 05</w:t>
            </w:r>
          </w:p>
        </w:tc>
        <w:tc>
          <w:tcPr>
            <w:tcW w:w="632" w:type="dxa"/>
            <w:tcBorders>
              <w:top w:val="single" w:sz="4" w:space="0" w:color="auto"/>
              <w:bottom w:val="single" w:sz="4" w:space="0" w:color="auto"/>
            </w:tcBorders>
            <w:tcMar>
              <w:top w:w="100" w:type="dxa"/>
              <w:left w:w="120" w:type="dxa"/>
              <w:bottom w:w="100" w:type="dxa"/>
              <w:right w:w="120" w:type="dxa"/>
            </w:tcMar>
          </w:tcPr>
          <w:p w14:paraId="136F14CA" w14:textId="77777777" w:rsidR="005776EE" w:rsidRDefault="005776EE" w:rsidP="0011154A">
            <w:pPr>
              <w:pStyle w:val="Tablecontent"/>
            </w:pPr>
            <w:r>
              <w:rPr>
                <w:rFonts w:ascii="Segoe UI Symbol" w:hAnsi="Segoe UI Symbol" w:cs="Segoe UI Symbol"/>
              </w:rPr>
              <w:t>☐</w:t>
            </w:r>
          </w:p>
        </w:tc>
        <w:tc>
          <w:tcPr>
            <w:tcW w:w="549" w:type="dxa"/>
            <w:tcBorders>
              <w:top w:val="single" w:sz="4" w:space="0" w:color="auto"/>
              <w:bottom w:val="single" w:sz="4" w:space="0" w:color="auto"/>
            </w:tcBorders>
            <w:tcMar>
              <w:top w:w="100" w:type="dxa"/>
              <w:left w:w="120" w:type="dxa"/>
              <w:bottom w:w="100" w:type="dxa"/>
              <w:right w:w="120" w:type="dxa"/>
            </w:tcMar>
          </w:tcPr>
          <w:p w14:paraId="277D40C2" w14:textId="77777777" w:rsidR="005776EE" w:rsidRDefault="005776EE" w:rsidP="0011154A">
            <w:pPr>
              <w:pStyle w:val="Tablecontent"/>
            </w:pPr>
            <w:r>
              <w:rPr>
                <w:rFonts w:ascii="Segoe UI Symbol" w:hAnsi="Segoe UI Symbol" w:cs="Segoe UI Symbol"/>
              </w:rPr>
              <w:t>☐</w:t>
            </w:r>
          </w:p>
        </w:tc>
      </w:tr>
      <w:tr w:rsidR="005776EE" w14:paraId="262D2F75" w14:textId="77777777" w:rsidTr="000E1801">
        <w:tc>
          <w:tcPr>
            <w:tcW w:w="2336" w:type="dxa"/>
            <w:tcBorders>
              <w:top w:val="single" w:sz="4" w:space="0" w:color="auto"/>
              <w:bottom w:val="single" w:sz="4" w:space="0" w:color="auto"/>
            </w:tcBorders>
            <w:tcMar>
              <w:top w:w="100" w:type="dxa"/>
              <w:left w:w="120" w:type="dxa"/>
              <w:bottom w:w="100" w:type="dxa"/>
              <w:right w:w="120" w:type="dxa"/>
            </w:tcMar>
          </w:tcPr>
          <w:p w14:paraId="678943EC" w14:textId="77777777" w:rsidR="005776EE" w:rsidRDefault="005776EE" w:rsidP="0011154A">
            <w:pPr>
              <w:pStyle w:val="Tablecontent"/>
            </w:pPr>
            <w:r>
              <w:t>PIA process</w:t>
            </w:r>
          </w:p>
        </w:tc>
        <w:tc>
          <w:tcPr>
            <w:tcW w:w="4203" w:type="dxa"/>
            <w:tcBorders>
              <w:top w:val="single" w:sz="4" w:space="0" w:color="auto"/>
              <w:bottom w:val="single" w:sz="4" w:space="0" w:color="auto"/>
            </w:tcBorders>
            <w:tcMar>
              <w:top w:w="100" w:type="dxa"/>
              <w:left w:w="120" w:type="dxa"/>
              <w:bottom w:w="100" w:type="dxa"/>
              <w:right w:w="120" w:type="dxa"/>
            </w:tcMar>
          </w:tcPr>
          <w:p w14:paraId="17FF9672" w14:textId="77777777" w:rsidR="005776EE" w:rsidRDefault="005776EE" w:rsidP="0011154A">
            <w:pPr>
              <w:pStyle w:val="Tablecontent"/>
            </w:pPr>
            <w:r>
              <w:t>Does your firm have a process for assessing privacy risks when implementing new systems or processes?</w:t>
            </w:r>
          </w:p>
        </w:tc>
        <w:tc>
          <w:tcPr>
            <w:tcW w:w="1304" w:type="dxa"/>
            <w:tcBorders>
              <w:top w:val="single" w:sz="4" w:space="0" w:color="auto"/>
              <w:bottom w:val="single" w:sz="4" w:space="0" w:color="auto"/>
            </w:tcBorders>
            <w:tcMar>
              <w:top w:w="100" w:type="dxa"/>
              <w:left w:w="120" w:type="dxa"/>
              <w:bottom w:w="100" w:type="dxa"/>
              <w:right w:w="120" w:type="dxa"/>
            </w:tcMar>
          </w:tcPr>
          <w:p w14:paraId="433B417F" w14:textId="77777777" w:rsidR="005776EE" w:rsidRDefault="005776EE" w:rsidP="0011154A">
            <w:pPr>
              <w:pStyle w:val="Tablecontent"/>
            </w:pPr>
            <w:r>
              <w:t>Doc 06</w:t>
            </w:r>
          </w:p>
        </w:tc>
        <w:tc>
          <w:tcPr>
            <w:tcW w:w="632" w:type="dxa"/>
            <w:tcBorders>
              <w:top w:val="single" w:sz="4" w:space="0" w:color="auto"/>
              <w:bottom w:val="single" w:sz="4" w:space="0" w:color="auto"/>
            </w:tcBorders>
            <w:tcMar>
              <w:top w:w="100" w:type="dxa"/>
              <w:left w:w="120" w:type="dxa"/>
              <w:bottom w:w="100" w:type="dxa"/>
              <w:right w:w="120" w:type="dxa"/>
            </w:tcMar>
          </w:tcPr>
          <w:p w14:paraId="534C73D0" w14:textId="77777777" w:rsidR="005776EE" w:rsidRDefault="005776EE" w:rsidP="0011154A">
            <w:pPr>
              <w:pStyle w:val="Tablecontent"/>
            </w:pPr>
            <w:r>
              <w:rPr>
                <w:rFonts w:ascii="Segoe UI Symbol" w:hAnsi="Segoe UI Symbol" w:cs="Segoe UI Symbol"/>
              </w:rPr>
              <w:t>☐</w:t>
            </w:r>
          </w:p>
        </w:tc>
        <w:tc>
          <w:tcPr>
            <w:tcW w:w="549" w:type="dxa"/>
            <w:tcBorders>
              <w:top w:val="single" w:sz="4" w:space="0" w:color="auto"/>
              <w:bottom w:val="single" w:sz="4" w:space="0" w:color="auto"/>
            </w:tcBorders>
            <w:tcMar>
              <w:top w:w="100" w:type="dxa"/>
              <w:left w:w="120" w:type="dxa"/>
              <w:bottom w:w="100" w:type="dxa"/>
              <w:right w:w="120" w:type="dxa"/>
            </w:tcMar>
          </w:tcPr>
          <w:p w14:paraId="3703C1C3" w14:textId="77777777" w:rsidR="005776EE" w:rsidRDefault="005776EE" w:rsidP="0011154A">
            <w:pPr>
              <w:pStyle w:val="Tablecontent"/>
            </w:pPr>
            <w:r>
              <w:rPr>
                <w:rFonts w:ascii="Segoe UI Symbol" w:hAnsi="Segoe UI Symbol" w:cs="Segoe UI Symbol"/>
              </w:rPr>
              <w:t>☐</w:t>
            </w:r>
          </w:p>
        </w:tc>
      </w:tr>
      <w:tr w:rsidR="005776EE" w14:paraId="1921CFC8" w14:textId="77777777" w:rsidTr="000E1801">
        <w:tc>
          <w:tcPr>
            <w:tcW w:w="2336" w:type="dxa"/>
            <w:tcBorders>
              <w:top w:val="single" w:sz="4" w:space="0" w:color="auto"/>
              <w:bottom w:val="single" w:sz="4" w:space="0" w:color="auto"/>
            </w:tcBorders>
            <w:tcMar>
              <w:top w:w="100" w:type="dxa"/>
              <w:left w:w="120" w:type="dxa"/>
              <w:bottom w:w="100" w:type="dxa"/>
              <w:right w:w="120" w:type="dxa"/>
            </w:tcMar>
          </w:tcPr>
          <w:p w14:paraId="2E825846" w14:textId="77777777" w:rsidR="005776EE" w:rsidRDefault="005776EE" w:rsidP="0011154A">
            <w:pPr>
              <w:pStyle w:val="Tablecontent"/>
            </w:pPr>
            <w:r>
              <w:t>Privacy-specific training</w:t>
            </w:r>
          </w:p>
        </w:tc>
        <w:tc>
          <w:tcPr>
            <w:tcW w:w="4203" w:type="dxa"/>
            <w:tcBorders>
              <w:top w:val="single" w:sz="4" w:space="0" w:color="auto"/>
              <w:bottom w:val="single" w:sz="4" w:space="0" w:color="auto"/>
            </w:tcBorders>
            <w:tcMar>
              <w:top w:w="100" w:type="dxa"/>
              <w:left w:w="120" w:type="dxa"/>
              <w:bottom w:w="100" w:type="dxa"/>
              <w:right w:w="120" w:type="dxa"/>
            </w:tcMar>
          </w:tcPr>
          <w:p w14:paraId="598134D1" w14:textId="77777777" w:rsidR="005776EE" w:rsidRDefault="005776EE" w:rsidP="0011154A">
            <w:pPr>
              <w:pStyle w:val="Tablecontent"/>
            </w:pPr>
            <w:r>
              <w:t>Do staff receive specific training on privacy obligations and the firm's privacy procedures?</w:t>
            </w:r>
          </w:p>
        </w:tc>
        <w:tc>
          <w:tcPr>
            <w:tcW w:w="1304" w:type="dxa"/>
            <w:tcBorders>
              <w:top w:val="single" w:sz="4" w:space="0" w:color="auto"/>
              <w:bottom w:val="single" w:sz="4" w:space="0" w:color="auto"/>
            </w:tcBorders>
            <w:tcMar>
              <w:top w:w="100" w:type="dxa"/>
              <w:left w:w="120" w:type="dxa"/>
              <w:bottom w:w="100" w:type="dxa"/>
              <w:right w:w="120" w:type="dxa"/>
            </w:tcMar>
          </w:tcPr>
          <w:p w14:paraId="4CD42964" w14:textId="77777777" w:rsidR="005776EE" w:rsidRDefault="005776EE" w:rsidP="0011154A">
            <w:pPr>
              <w:pStyle w:val="Tablecontent"/>
            </w:pPr>
            <w:r>
              <w:t>Doc 07</w:t>
            </w:r>
          </w:p>
        </w:tc>
        <w:tc>
          <w:tcPr>
            <w:tcW w:w="632" w:type="dxa"/>
            <w:tcBorders>
              <w:top w:val="single" w:sz="4" w:space="0" w:color="auto"/>
              <w:bottom w:val="single" w:sz="4" w:space="0" w:color="auto"/>
            </w:tcBorders>
            <w:tcMar>
              <w:top w:w="100" w:type="dxa"/>
              <w:left w:w="120" w:type="dxa"/>
              <w:bottom w:w="100" w:type="dxa"/>
              <w:right w:w="120" w:type="dxa"/>
            </w:tcMar>
          </w:tcPr>
          <w:p w14:paraId="0244B7A6" w14:textId="77777777" w:rsidR="005776EE" w:rsidRDefault="005776EE" w:rsidP="0011154A">
            <w:pPr>
              <w:pStyle w:val="Tablecontent"/>
            </w:pPr>
            <w:r>
              <w:rPr>
                <w:rFonts w:ascii="Segoe UI Symbol" w:hAnsi="Segoe UI Symbol" w:cs="Segoe UI Symbol"/>
              </w:rPr>
              <w:t>☐</w:t>
            </w:r>
          </w:p>
        </w:tc>
        <w:tc>
          <w:tcPr>
            <w:tcW w:w="549" w:type="dxa"/>
            <w:tcBorders>
              <w:top w:val="single" w:sz="4" w:space="0" w:color="auto"/>
              <w:bottom w:val="single" w:sz="4" w:space="0" w:color="auto"/>
            </w:tcBorders>
            <w:tcMar>
              <w:top w:w="100" w:type="dxa"/>
              <w:left w:w="120" w:type="dxa"/>
              <w:bottom w:w="100" w:type="dxa"/>
              <w:right w:w="120" w:type="dxa"/>
            </w:tcMar>
          </w:tcPr>
          <w:p w14:paraId="21461860" w14:textId="77777777" w:rsidR="005776EE" w:rsidRDefault="005776EE" w:rsidP="0011154A">
            <w:pPr>
              <w:pStyle w:val="Tablecontent"/>
            </w:pPr>
            <w:r>
              <w:rPr>
                <w:rFonts w:ascii="Segoe UI Symbol" w:hAnsi="Segoe UI Symbol" w:cs="Segoe UI Symbol"/>
              </w:rPr>
              <w:t>☐</w:t>
            </w:r>
          </w:p>
        </w:tc>
      </w:tr>
      <w:tr w:rsidR="005776EE" w14:paraId="5644A207" w14:textId="77777777" w:rsidTr="000E1801">
        <w:tc>
          <w:tcPr>
            <w:tcW w:w="2336" w:type="dxa"/>
            <w:tcBorders>
              <w:top w:val="single" w:sz="4" w:space="0" w:color="auto"/>
              <w:bottom w:val="single" w:sz="4" w:space="0" w:color="auto"/>
            </w:tcBorders>
            <w:tcMar>
              <w:top w:w="100" w:type="dxa"/>
              <w:left w:w="120" w:type="dxa"/>
              <w:bottom w:w="100" w:type="dxa"/>
              <w:right w:w="120" w:type="dxa"/>
            </w:tcMar>
          </w:tcPr>
          <w:p w14:paraId="412CD8EA" w14:textId="77777777" w:rsidR="005776EE" w:rsidRDefault="005776EE" w:rsidP="0011154A">
            <w:pPr>
              <w:pStyle w:val="Tablecontent"/>
            </w:pPr>
            <w:r>
              <w:t>Access request procedure</w:t>
            </w:r>
          </w:p>
        </w:tc>
        <w:tc>
          <w:tcPr>
            <w:tcW w:w="4203" w:type="dxa"/>
            <w:tcBorders>
              <w:top w:val="single" w:sz="4" w:space="0" w:color="auto"/>
              <w:bottom w:val="single" w:sz="4" w:space="0" w:color="auto"/>
            </w:tcBorders>
            <w:tcMar>
              <w:top w:w="100" w:type="dxa"/>
              <w:left w:w="120" w:type="dxa"/>
              <w:bottom w:w="100" w:type="dxa"/>
              <w:right w:w="120" w:type="dxa"/>
            </w:tcMar>
          </w:tcPr>
          <w:p w14:paraId="708A57C1" w14:textId="77777777" w:rsidR="005776EE" w:rsidRDefault="005776EE" w:rsidP="0011154A">
            <w:pPr>
              <w:pStyle w:val="Tablecontent"/>
            </w:pPr>
            <w:r>
              <w:t>Does your firm have a documented procedure for handling requests from individuals to access their personal information?</w:t>
            </w:r>
          </w:p>
        </w:tc>
        <w:tc>
          <w:tcPr>
            <w:tcW w:w="1304" w:type="dxa"/>
            <w:tcBorders>
              <w:top w:val="single" w:sz="4" w:space="0" w:color="auto"/>
              <w:bottom w:val="single" w:sz="4" w:space="0" w:color="auto"/>
            </w:tcBorders>
            <w:tcMar>
              <w:top w:w="100" w:type="dxa"/>
              <w:left w:w="120" w:type="dxa"/>
              <w:bottom w:w="100" w:type="dxa"/>
              <w:right w:w="120" w:type="dxa"/>
            </w:tcMar>
          </w:tcPr>
          <w:p w14:paraId="065583A6" w14:textId="77777777" w:rsidR="005776EE" w:rsidRDefault="005776EE" w:rsidP="0011154A">
            <w:pPr>
              <w:pStyle w:val="Tablecontent"/>
            </w:pPr>
            <w:r>
              <w:t>Manual Ch 16</w:t>
            </w:r>
          </w:p>
        </w:tc>
        <w:tc>
          <w:tcPr>
            <w:tcW w:w="632" w:type="dxa"/>
            <w:tcBorders>
              <w:top w:val="single" w:sz="4" w:space="0" w:color="auto"/>
              <w:bottom w:val="single" w:sz="4" w:space="0" w:color="auto"/>
            </w:tcBorders>
            <w:tcMar>
              <w:top w:w="100" w:type="dxa"/>
              <w:left w:w="120" w:type="dxa"/>
              <w:bottom w:w="100" w:type="dxa"/>
              <w:right w:w="120" w:type="dxa"/>
            </w:tcMar>
          </w:tcPr>
          <w:p w14:paraId="19A82696" w14:textId="77777777" w:rsidR="005776EE" w:rsidRDefault="005776EE" w:rsidP="0011154A">
            <w:pPr>
              <w:pStyle w:val="Tablecontent"/>
            </w:pPr>
            <w:r>
              <w:rPr>
                <w:rFonts w:ascii="Segoe UI Symbol" w:hAnsi="Segoe UI Symbol" w:cs="Segoe UI Symbol"/>
              </w:rPr>
              <w:t>☐</w:t>
            </w:r>
          </w:p>
        </w:tc>
        <w:tc>
          <w:tcPr>
            <w:tcW w:w="549" w:type="dxa"/>
            <w:tcBorders>
              <w:top w:val="single" w:sz="4" w:space="0" w:color="auto"/>
              <w:bottom w:val="single" w:sz="4" w:space="0" w:color="auto"/>
            </w:tcBorders>
            <w:tcMar>
              <w:top w:w="100" w:type="dxa"/>
              <w:left w:w="120" w:type="dxa"/>
              <w:bottom w:w="100" w:type="dxa"/>
              <w:right w:w="120" w:type="dxa"/>
            </w:tcMar>
          </w:tcPr>
          <w:p w14:paraId="62DD1392" w14:textId="77777777" w:rsidR="005776EE" w:rsidRDefault="005776EE" w:rsidP="0011154A">
            <w:pPr>
              <w:pStyle w:val="Tablecontent"/>
            </w:pPr>
            <w:r>
              <w:rPr>
                <w:rFonts w:ascii="Segoe UI Symbol" w:hAnsi="Segoe UI Symbol" w:cs="Segoe UI Symbol"/>
              </w:rPr>
              <w:t>☐</w:t>
            </w:r>
          </w:p>
        </w:tc>
      </w:tr>
      <w:tr w:rsidR="005776EE" w14:paraId="381C2787" w14:textId="77777777" w:rsidTr="000E1801">
        <w:tc>
          <w:tcPr>
            <w:tcW w:w="2336" w:type="dxa"/>
            <w:tcBorders>
              <w:top w:val="single" w:sz="4" w:space="0" w:color="auto"/>
              <w:bottom w:val="single" w:sz="4" w:space="0" w:color="auto"/>
            </w:tcBorders>
            <w:tcMar>
              <w:top w:w="100" w:type="dxa"/>
              <w:left w:w="120" w:type="dxa"/>
              <w:bottom w:w="100" w:type="dxa"/>
              <w:right w:w="120" w:type="dxa"/>
            </w:tcMar>
          </w:tcPr>
          <w:p w14:paraId="2208C627" w14:textId="77777777" w:rsidR="005776EE" w:rsidRDefault="005776EE" w:rsidP="0011154A">
            <w:pPr>
              <w:pStyle w:val="Tablecontent"/>
            </w:pPr>
            <w:r>
              <w:t>Correction request procedure</w:t>
            </w:r>
          </w:p>
        </w:tc>
        <w:tc>
          <w:tcPr>
            <w:tcW w:w="4203" w:type="dxa"/>
            <w:tcBorders>
              <w:top w:val="single" w:sz="4" w:space="0" w:color="auto"/>
              <w:bottom w:val="single" w:sz="4" w:space="0" w:color="auto"/>
            </w:tcBorders>
            <w:tcMar>
              <w:top w:w="100" w:type="dxa"/>
              <w:left w:w="120" w:type="dxa"/>
              <w:bottom w:w="100" w:type="dxa"/>
              <w:right w:w="120" w:type="dxa"/>
            </w:tcMar>
          </w:tcPr>
          <w:p w14:paraId="45A69751" w14:textId="77777777" w:rsidR="005776EE" w:rsidRDefault="005776EE" w:rsidP="0011154A">
            <w:pPr>
              <w:pStyle w:val="Tablecontent"/>
            </w:pPr>
            <w:r>
              <w:t>Does your firm have a documented procedure for handling requests to correct personal information?</w:t>
            </w:r>
          </w:p>
        </w:tc>
        <w:tc>
          <w:tcPr>
            <w:tcW w:w="1304" w:type="dxa"/>
            <w:tcBorders>
              <w:top w:val="single" w:sz="4" w:space="0" w:color="auto"/>
              <w:bottom w:val="single" w:sz="4" w:space="0" w:color="auto"/>
            </w:tcBorders>
            <w:tcMar>
              <w:top w:w="100" w:type="dxa"/>
              <w:left w:w="120" w:type="dxa"/>
              <w:bottom w:w="100" w:type="dxa"/>
              <w:right w:w="120" w:type="dxa"/>
            </w:tcMar>
          </w:tcPr>
          <w:p w14:paraId="2307CD67" w14:textId="77777777" w:rsidR="005776EE" w:rsidRDefault="005776EE" w:rsidP="0011154A">
            <w:pPr>
              <w:pStyle w:val="Tablecontent"/>
            </w:pPr>
            <w:r>
              <w:t>Manual Ch 16</w:t>
            </w:r>
          </w:p>
        </w:tc>
        <w:tc>
          <w:tcPr>
            <w:tcW w:w="632" w:type="dxa"/>
            <w:tcBorders>
              <w:top w:val="single" w:sz="4" w:space="0" w:color="auto"/>
              <w:bottom w:val="single" w:sz="4" w:space="0" w:color="auto"/>
            </w:tcBorders>
            <w:tcMar>
              <w:top w:w="100" w:type="dxa"/>
              <w:left w:w="120" w:type="dxa"/>
              <w:bottom w:w="100" w:type="dxa"/>
              <w:right w:w="120" w:type="dxa"/>
            </w:tcMar>
          </w:tcPr>
          <w:p w14:paraId="7D5FAD20" w14:textId="77777777" w:rsidR="005776EE" w:rsidRDefault="005776EE" w:rsidP="0011154A">
            <w:pPr>
              <w:pStyle w:val="Tablecontent"/>
            </w:pPr>
            <w:r>
              <w:rPr>
                <w:rFonts w:ascii="Segoe UI Symbol" w:hAnsi="Segoe UI Symbol" w:cs="Segoe UI Symbol"/>
              </w:rPr>
              <w:t>☐</w:t>
            </w:r>
          </w:p>
        </w:tc>
        <w:tc>
          <w:tcPr>
            <w:tcW w:w="549" w:type="dxa"/>
            <w:tcBorders>
              <w:top w:val="single" w:sz="4" w:space="0" w:color="auto"/>
              <w:bottom w:val="single" w:sz="4" w:space="0" w:color="auto"/>
            </w:tcBorders>
            <w:tcMar>
              <w:top w:w="100" w:type="dxa"/>
              <w:left w:w="120" w:type="dxa"/>
              <w:bottom w:w="100" w:type="dxa"/>
              <w:right w:w="120" w:type="dxa"/>
            </w:tcMar>
          </w:tcPr>
          <w:p w14:paraId="5A81941E" w14:textId="77777777" w:rsidR="005776EE" w:rsidRDefault="005776EE" w:rsidP="0011154A">
            <w:pPr>
              <w:pStyle w:val="Tablecontent"/>
            </w:pPr>
            <w:r>
              <w:rPr>
                <w:rFonts w:ascii="Segoe UI Symbol" w:hAnsi="Segoe UI Symbol" w:cs="Segoe UI Symbol"/>
              </w:rPr>
              <w:t>☐</w:t>
            </w:r>
          </w:p>
        </w:tc>
      </w:tr>
      <w:tr w:rsidR="005776EE" w14:paraId="43C87CF2" w14:textId="77777777" w:rsidTr="000E1801">
        <w:tc>
          <w:tcPr>
            <w:tcW w:w="2336" w:type="dxa"/>
            <w:tcBorders>
              <w:top w:val="single" w:sz="4" w:space="0" w:color="auto"/>
              <w:bottom w:val="single" w:sz="4" w:space="0" w:color="auto"/>
            </w:tcBorders>
            <w:tcMar>
              <w:top w:w="100" w:type="dxa"/>
              <w:left w:w="120" w:type="dxa"/>
              <w:bottom w:w="100" w:type="dxa"/>
              <w:right w:w="120" w:type="dxa"/>
            </w:tcMar>
          </w:tcPr>
          <w:p w14:paraId="2B253DB6" w14:textId="77777777" w:rsidR="005776EE" w:rsidRDefault="005776EE" w:rsidP="0011154A">
            <w:pPr>
              <w:pStyle w:val="Tablecontent"/>
            </w:pPr>
            <w:r>
              <w:t>Privacy complaint procedure</w:t>
            </w:r>
          </w:p>
        </w:tc>
        <w:tc>
          <w:tcPr>
            <w:tcW w:w="4203" w:type="dxa"/>
            <w:tcBorders>
              <w:top w:val="single" w:sz="4" w:space="0" w:color="auto"/>
              <w:bottom w:val="single" w:sz="4" w:space="0" w:color="auto"/>
            </w:tcBorders>
            <w:tcMar>
              <w:top w:w="100" w:type="dxa"/>
              <w:left w:w="120" w:type="dxa"/>
              <w:bottom w:w="100" w:type="dxa"/>
              <w:right w:w="120" w:type="dxa"/>
            </w:tcMar>
          </w:tcPr>
          <w:p w14:paraId="4EBD3686" w14:textId="77777777" w:rsidR="005776EE" w:rsidRDefault="005776EE" w:rsidP="0011154A">
            <w:pPr>
              <w:pStyle w:val="Tablecontent"/>
            </w:pPr>
            <w:r>
              <w:t>Does your firm have a documented procedure for handling privacy complaints?</w:t>
            </w:r>
          </w:p>
        </w:tc>
        <w:tc>
          <w:tcPr>
            <w:tcW w:w="1304" w:type="dxa"/>
            <w:tcBorders>
              <w:top w:val="single" w:sz="4" w:space="0" w:color="auto"/>
              <w:bottom w:val="single" w:sz="4" w:space="0" w:color="auto"/>
            </w:tcBorders>
            <w:tcMar>
              <w:top w:w="100" w:type="dxa"/>
              <w:left w:w="120" w:type="dxa"/>
              <w:bottom w:w="100" w:type="dxa"/>
              <w:right w:w="120" w:type="dxa"/>
            </w:tcMar>
          </w:tcPr>
          <w:p w14:paraId="4BE1907D" w14:textId="77777777" w:rsidR="005776EE" w:rsidRDefault="005776EE" w:rsidP="0011154A">
            <w:pPr>
              <w:pStyle w:val="Tablecontent"/>
            </w:pPr>
            <w:r>
              <w:t>Manual Ch 18</w:t>
            </w:r>
          </w:p>
        </w:tc>
        <w:tc>
          <w:tcPr>
            <w:tcW w:w="632" w:type="dxa"/>
            <w:tcBorders>
              <w:top w:val="single" w:sz="4" w:space="0" w:color="auto"/>
              <w:bottom w:val="single" w:sz="4" w:space="0" w:color="auto"/>
            </w:tcBorders>
            <w:tcMar>
              <w:top w:w="100" w:type="dxa"/>
              <w:left w:w="120" w:type="dxa"/>
              <w:bottom w:w="100" w:type="dxa"/>
              <w:right w:w="120" w:type="dxa"/>
            </w:tcMar>
          </w:tcPr>
          <w:p w14:paraId="2770F523" w14:textId="77777777" w:rsidR="005776EE" w:rsidRDefault="005776EE" w:rsidP="0011154A">
            <w:pPr>
              <w:pStyle w:val="Tablecontent"/>
            </w:pPr>
            <w:r>
              <w:rPr>
                <w:rFonts w:ascii="Segoe UI Symbol" w:hAnsi="Segoe UI Symbol" w:cs="Segoe UI Symbol"/>
              </w:rPr>
              <w:t>☐</w:t>
            </w:r>
          </w:p>
        </w:tc>
        <w:tc>
          <w:tcPr>
            <w:tcW w:w="549" w:type="dxa"/>
            <w:tcBorders>
              <w:top w:val="single" w:sz="4" w:space="0" w:color="auto"/>
              <w:bottom w:val="single" w:sz="4" w:space="0" w:color="auto"/>
            </w:tcBorders>
            <w:tcMar>
              <w:top w:w="100" w:type="dxa"/>
              <w:left w:w="120" w:type="dxa"/>
              <w:bottom w:w="100" w:type="dxa"/>
              <w:right w:w="120" w:type="dxa"/>
            </w:tcMar>
          </w:tcPr>
          <w:p w14:paraId="3378FE81" w14:textId="77777777" w:rsidR="005776EE" w:rsidRDefault="005776EE" w:rsidP="0011154A">
            <w:pPr>
              <w:pStyle w:val="Tablecontent"/>
            </w:pPr>
            <w:r>
              <w:rPr>
                <w:rFonts w:ascii="Segoe UI Symbol" w:hAnsi="Segoe UI Symbol" w:cs="Segoe UI Symbol"/>
              </w:rPr>
              <w:t>☐</w:t>
            </w:r>
          </w:p>
        </w:tc>
      </w:tr>
    </w:tbl>
    <w:p w14:paraId="02A3CB52" w14:textId="77777777" w:rsidR="001F3BAF" w:rsidRDefault="001F3BAF">
      <w:pPr>
        <w:spacing w:after="0"/>
        <w:rPr>
          <w:b/>
          <w:bCs/>
          <w:iCs/>
          <w:color w:val="0F2D52"/>
          <w:sz w:val="28"/>
          <w:szCs w:val="28"/>
        </w:rPr>
      </w:pPr>
      <w:bookmarkStart w:id="130" w:name="_Toc220069904"/>
      <w:bookmarkStart w:id="131" w:name="_Toc220655080"/>
      <w:r>
        <w:br w:type="page"/>
      </w:r>
    </w:p>
    <w:p w14:paraId="0AA1F044" w14:textId="20DD5817" w:rsidR="005776EE" w:rsidRDefault="005776EE" w:rsidP="00A30EAA">
      <w:pPr>
        <w:pStyle w:val="NumberedHeading2"/>
      </w:pPr>
      <w:bookmarkStart w:id="132" w:name="_Toc231895164"/>
      <w:r>
        <w:lastRenderedPageBreak/>
        <w:t>Preparing for Implementation</w:t>
      </w:r>
      <w:bookmarkEnd w:id="130"/>
      <w:bookmarkEnd w:id="131"/>
      <w:bookmarkEnd w:id="132"/>
    </w:p>
    <w:p w14:paraId="018B2411" w14:textId="77777777" w:rsidR="005776EE" w:rsidRDefault="005776EE" w:rsidP="00A30EAA">
      <w:pPr>
        <w:pStyle w:val="Body"/>
      </w:pPr>
      <w:r>
        <w:t>Before proceeding to implement the toolkit documents, ensure the following preparatory steps are completed:</w:t>
      </w:r>
    </w:p>
    <w:p w14:paraId="51F35EF7" w14:textId="1577B293" w:rsidR="005776EE" w:rsidRDefault="005776EE" w:rsidP="0011154A">
      <w:pPr>
        <w:pStyle w:val="ListNumber"/>
        <w:numPr>
          <w:ilvl w:val="0"/>
          <w:numId w:val="27"/>
        </w:numPr>
      </w:pPr>
      <w:r w:rsidRPr="0011154A">
        <w:rPr>
          <w:b/>
          <w:bCs/>
        </w:rPr>
        <w:t xml:space="preserve">Designate a Privacy Officer: </w:t>
      </w:r>
      <w:r>
        <w:t>Identify who will be responsible for privacy compliance. In a small firm, this is typically a Principal, but may be delegated to a Practice Manager or other senior staff member. The Privacy Officer will be the primary user of this manual.</w:t>
      </w:r>
      <w:r>
        <w:rPr>
          <w:rStyle w:val="FootnoteReference"/>
        </w:rPr>
        <w:footnoteReference w:id="71"/>
      </w:r>
    </w:p>
    <w:p w14:paraId="008F0BD1" w14:textId="2C0A779D" w:rsidR="005776EE" w:rsidRDefault="005776EE" w:rsidP="0011154A">
      <w:pPr>
        <w:pStyle w:val="ListNumber"/>
      </w:pPr>
      <w:r>
        <w:rPr>
          <w:b/>
          <w:bCs/>
        </w:rPr>
        <w:t xml:space="preserve">Assess designated services: </w:t>
      </w:r>
      <w:r>
        <w:t>Determine which of your firm's services are 'designated services' under the AML/CTF Act. This will confirm whether your firm becomes a reporting entity from 1 July 2026 and the scope of your privacy obligations.</w:t>
      </w:r>
      <w:r>
        <w:rPr>
          <w:rStyle w:val="FootnoteReference"/>
        </w:rPr>
        <w:footnoteReference w:id="72"/>
      </w:r>
    </w:p>
    <w:p w14:paraId="0AC506F4" w14:textId="289B7D15" w:rsidR="005776EE" w:rsidRDefault="005776EE" w:rsidP="0011154A">
      <w:pPr>
        <w:pStyle w:val="ListNumber"/>
      </w:pPr>
      <w:r>
        <w:rPr>
          <w:b/>
          <w:bCs/>
        </w:rPr>
        <w:t xml:space="preserve">Allocate implementation time: </w:t>
      </w:r>
      <w:r>
        <w:t>Privacy compliance implementation requires focused effort. Block time in the Privacy Officer's schedule for the initial implementation project.</w:t>
      </w:r>
      <w:r w:rsidR="005F7664">
        <w:t xml:space="preserve"> Although the work required for many firms is not </w:t>
      </w:r>
      <w:r w:rsidR="00CF17E6">
        <w:t>onerous, leaving plenty of time to do it will minimize stress.</w:t>
      </w:r>
    </w:p>
    <w:p w14:paraId="43A870B2" w14:textId="701A4732" w:rsidR="005776EE" w:rsidRDefault="005776EE" w:rsidP="0011154A">
      <w:pPr>
        <w:pStyle w:val="ListNumber"/>
      </w:pPr>
      <w:r>
        <w:rPr>
          <w:b/>
          <w:bCs/>
        </w:rPr>
        <w:t xml:space="preserve">Brief key stakeholders: </w:t>
      </w:r>
      <w:r>
        <w:t xml:space="preserve">Ensure all Principals and senior staff understand </w:t>
      </w:r>
      <w:r w:rsidR="004A0EAD">
        <w:t>the project and why it needs to happen.</w:t>
      </w:r>
    </w:p>
    <w:p w14:paraId="2FF82888" w14:textId="3B2A4EB0" w:rsidR="005776EE" w:rsidRDefault="005776EE" w:rsidP="0011154A">
      <w:pPr>
        <w:pStyle w:val="ListNumber"/>
        <w:spacing w:after="240"/>
      </w:pPr>
      <w:r>
        <w:rPr>
          <w:b/>
          <w:bCs/>
        </w:rPr>
        <w:t xml:space="preserve">Gather existing documentation: </w:t>
      </w:r>
      <w:r>
        <w:t xml:space="preserve">Collect copies of existing documents that may inform the implementation: engagement letter templates, employment contracts, IT policies, office procedures, and any existing privacy-related documents. These will help </w:t>
      </w:r>
      <w:proofErr w:type="spellStart"/>
      <w:r>
        <w:t>customise</w:t>
      </w:r>
      <w:proofErr w:type="spellEnd"/>
      <w:r>
        <w:t xml:space="preserve"> the toolkit documents to your firm's context.</w:t>
      </w:r>
    </w:p>
    <w:tbl>
      <w:tblPr>
        <w:tblW w:w="5000" w:type="pct"/>
        <w:tblCellMar>
          <w:left w:w="10" w:type="dxa"/>
          <w:right w:w="10" w:type="dxa"/>
        </w:tblCellMar>
        <w:tblLook w:val="04A0" w:firstRow="1" w:lastRow="0" w:firstColumn="1" w:lastColumn="0" w:noHBand="0" w:noVBand="1"/>
      </w:tblPr>
      <w:tblGrid>
        <w:gridCol w:w="9026"/>
      </w:tblGrid>
      <w:tr w:rsidR="005776EE" w14:paraId="38F8DB40" w14:textId="77777777" w:rsidTr="0011154A">
        <w:tc>
          <w:tcPr>
            <w:tcW w:w="9026" w:type="dxa"/>
            <w:shd w:val="clear" w:color="auto" w:fill="FFF3CD"/>
            <w:tcMar>
              <w:top w:w="160" w:type="dxa"/>
              <w:left w:w="200" w:type="dxa"/>
              <w:bottom w:w="160" w:type="dxa"/>
              <w:right w:w="200" w:type="dxa"/>
            </w:tcMar>
          </w:tcPr>
          <w:p w14:paraId="5E37ACB1" w14:textId="77777777" w:rsidR="005776EE" w:rsidRPr="0011154A" w:rsidRDefault="005776EE" w:rsidP="00A30EAA">
            <w:pPr>
              <w:pStyle w:val="Body"/>
              <w:rPr>
                <w:rStyle w:val="Strong"/>
              </w:rPr>
            </w:pPr>
            <w:r w:rsidRPr="0011154A">
              <w:rPr>
                <w:rStyle w:val="Strong"/>
              </w:rPr>
              <w:t>Timeline Alert</w:t>
            </w:r>
          </w:p>
          <w:p w14:paraId="0FF5D2FD" w14:textId="77777777" w:rsidR="00402515" w:rsidRPr="0011154A" w:rsidRDefault="005776EE" w:rsidP="00A30EAA">
            <w:pPr>
              <w:pStyle w:val="Body"/>
            </w:pPr>
            <w:r w:rsidRPr="0011154A">
              <w:t xml:space="preserve">Privacy obligations commence on 1 July 2026 for firms providing designated services. </w:t>
            </w:r>
          </w:p>
          <w:p w14:paraId="18E8E07D" w14:textId="5F711314" w:rsidR="005776EE" w:rsidRDefault="005776EE" w:rsidP="00A30EAA">
            <w:pPr>
              <w:pStyle w:val="Body"/>
            </w:pPr>
            <w:r w:rsidRPr="0011154A">
              <w:t xml:space="preserve">Working backwards from this date, your implementation project should commence </w:t>
            </w:r>
            <w:r w:rsidR="00535065" w:rsidRPr="0011154A">
              <w:t xml:space="preserve">as soon as possible </w:t>
            </w:r>
            <w:r w:rsidRPr="0011154A">
              <w:t xml:space="preserve">to allow adequate time for </w:t>
            </w:r>
            <w:r w:rsidR="00535065" w:rsidRPr="0011154A">
              <w:t>compliance activities, bearing in mind that AML / CTF preparation will also place a heavy burden on your firm’s resources.</w:t>
            </w:r>
          </w:p>
        </w:tc>
      </w:tr>
    </w:tbl>
    <w:p w14:paraId="3DFFF6CC" w14:textId="77777777" w:rsidR="005776EE" w:rsidRDefault="005776EE" w:rsidP="00A30EAA">
      <w:pPr>
        <w:pStyle w:val="Body"/>
      </w:pPr>
    </w:p>
    <w:tbl>
      <w:tblPr>
        <w:tblW w:w="5000" w:type="pct"/>
        <w:tblCellMar>
          <w:left w:w="10" w:type="dxa"/>
          <w:right w:w="10" w:type="dxa"/>
        </w:tblCellMar>
        <w:tblLook w:val="04A0" w:firstRow="1" w:lastRow="0" w:firstColumn="1" w:lastColumn="0" w:noHBand="0" w:noVBand="1"/>
      </w:tblPr>
      <w:tblGrid>
        <w:gridCol w:w="9026"/>
      </w:tblGrid>
      <w:tr w:rsidR="005776EE" w14:paraId="4EDF85D4" w14:textId="77777777" w:rsidTr="0011154A">
        <w:tc>
          <w:tcPr>
            <w:tcW w:w="9026" w:type="dxa"/>
            <w:shd w:val="clear" w:color="auto" w:fill="D4EDDA"/>
            <w:tcMar>
              <w:top w:w="160" w:type="dxa"/>
              <w:left w:w="200" w:type="dxa"/>
              <w:bottom w:w="160" w:type="dxa"/>
              <w:right w:w="200" w:type="dxa"/>
            </w:tcMar>
          </w:tcPr>
          <w:p w14:paraId="1FABD411" w14:textId="77777777" w:rsidR="005776EE" w:rsidRDefault="005776EE" w:rsidP="00A30EAA">
            <w:pPr>
              <w:pStyle w:val="Body"/>
            </w:pPr>
            <w:r>
              <w:t>Key Takeaways — Chapters 5 and 6</w:t>
            </w:r>
          </w:p>
          <w:p w14:paraId="1DF34F7E" w14:textId="05BBF16A" w:rsidR="005776EE" w:rsidRDefault="005776EE" w:rsidP="00A30EAA">
            <w:pPr>
              <w:pStyle w:val="ListParagraph"/>
            </w:pPr>
            <w:r>
              <w:t>Privacy compliance introduces new documentation (privacy policy, collection notices, inventory, retention schedule, breach plan, PIAs, training) and new processes.</w:t>
            </w:r>
          </w:p>
          <w:p w14:paraId="1A3D5AE9" w14:textId="57FFA724" w:rsidR="005776EE" w:rsidRDefault="005776EE" w:rsidP="00A30EAA">
            <w:pPr>
              <w:pStyle w:val="ListParagraph"/>
            </w:pPr>
            <w:r>
              <w:t>Individual rights under APPs 12-13 create new obligations to respond to access and correction requests</w:t>
            </w:r>
            <w:r w:rsidR="00AD678B">
              <w:t xml:space="preserve"> insofar as these relate to regulated personal information</w:t>
            </w:r>
            <w:r>
              <w:t>.</w:t>
            </w:r>
          </w:p>
          <w:p w14:paraId="3ED550B8" w14:textId="0C84A6CC" w:rsidR="005776EE" w:rsidRDefault="005776EE" w:rsidP="00A30EAA">
            <w:pPr>
              <w:pStyle w:val="ListParagraph"/>
            </w:pPr>
            <w:r>
              <w:t>Core legal practice, confidentiality duties, and legal professional privilege protections continue unchanged.</w:t>
            </w:r>
          </w:p>
          <w:p w14:paraId="188685E7" w14:textId="14A802EB" w:rsidR="005776EE" w:rsidRDefault="005776EE" w:rsidP="00A30EAA">
            <w:pPr>
              <w:pStyle w:val="ListParagraph"/>
            </w:pPr>
            <w:r>
              <w:t>Most law firms have foundational practices (security, file management, staff obligations) that support privacy compliance.</w:t>
            </w:r>
          </w:p>
          <w:p w14:paraId="7BCBA756" w14:textId="7E9AD345" w:rsidR="005776EE" w:rsidRDefault="005776EE" w:rsidP="00A30EAA">
            <w:pPr>
              <w:pStyle w:val="ListParagraph"/>
            </w:pPr>
            <w:r>
              <w:t>The gap assessment checklists identify where implementation effort is needed — privacy-specific gaps are expected for firms new to the Privacy Act.</w:t>
            </w:r>
          </w:p>
        </w:tc>
      </w:tr>
    </w:tbl>
    <w:p w14:paraId="316789A4" w14:textId="57374C0B" w:rsidR="005776EE" w:rsidRDefault="005776EE" w:rsidP="00973158">
      <w:r>
        <w:br w:type="page"/>
      </w:r>
    </w:p>
    <w:p w14:paraId="1CC83A36" w14:textId="77777777" w:rsidR="0011154A" w:rsidRPr="0011154A" w:rsidRDefault="0011154A" w:rsidP="00AB13FF">
      <w:pPr>
        <w:pStyle w:val="Header"/>
      </w:pPr>
      <w:bookmarkStart w:id="133" w:name="_Toc231895165"/>
      <w:bookmarkStart w:id="134" w:name="_Toc220069905"/>
      <w:bookmarkStart w:id="135" w:name="_Toc220655081"/>
      <w:r w:rsidRPr="0011154A">
        <w:lastRenderedPageBreak/>
        <w:t>PART C</w:t>
      </w:r>
      <w:bookmarkEnd w:id="133"/>
    </w:p>
    <w:p w14:paraId="61105C9B" w14:textId="77777777" w:rsidR="0011154A" w:rsidRPr="0011154A" w:rsidRDefault="0011154A" w:rsidP="00A30EAA">
      <w:pPr>
        <w:pStyle w:val="Header2"/>
      </w:pPr>
      <w:bookmarkStart w:id="136" w:name="_Toc231895166"/>
      <w:r w:rsidRPr="0011154A">
        <w:t>UNDERSTANDING THE AUSTRALIAN PRIVACY PRINCIPLES</w:t>
      </w:r>
      <w:bookmarkEnd w:id="136"/>
      <w:r w:rsidRPr="0011154A">
        <w:t xml:space="preserve"> </w:t>
      </w:r>
    </w:p>
    <w:p w14:paraId="6C182839" w14:textId="1E65874A" w:rsidR="005776EE" w:rsidRDefault="005776EE" w:rsidP="00A82687">
      <w:pPr>
        <w:pStyle w:val="NumberedHeading1"/>
      </w:pPr>
      <w:bookmarkStart w:id="137" w:name="_Toc231895167"/>
      <w:r>
        <w:t>Introduction to the APPs</w:t>
      </w:r>
      <w:bookmarkEnd w:id="134"/>
      <w:bookmarkEnd w:id="135"/>
      <w:bookmarkEnd w:id="137"/>
    </w:p>
    <w:p w14:paraId="4BB6B426" w14:textId="3E35AF3F" w:rsidR="00B94D79" w:rsidRDefault="005776EE" w:rsidP="00A30EAA">
      <w:pPr>
        <w:pStyle w:val="Body"/>
      </w:pPr>
      <w:r>
        <w:t xml:space="preserve">The Australian Privacy Principles (APPs) are the cornerstone of privacy regulation for private sector organisations in Australia. This chapter provides an introduction to the APPs </w:t>
      </w:r>
      <w:r w:rsidR="00A30EAA">
        <w:t xml:space="preserve">, </w:t>
      </w:r>
      <w:r>
        <w:t xml:space="preserve">their structure, and how to read and apply them. </w:t>
      </w:r>
      <w:r w:rsidR="00523B29">
        <w:t>Skip this section if you are already broadly familiar with the APPs.</w:t>
      </w:r>
    </w:p>
    <w:p w14:paraId="75CC1621" w14:textId="48A2C6C5" w:rsidR="005776EE" w:rsidRDefault="00B94D79" w:rsidP="00A30EAA">
      <w:pPr>
        <w:pStyle w:val="Body"/>
      </w:pPr>
      <w:r>
        <w:t>More d</w:t>
      </w:r>
      <w:r w:rsidR="005776EE">
        <w:t>etailed guidance on specific APPs most relevant to law firms follows in Chapter 8.</w:t>
      </w:r>
      <w:r w:rsidR="009A5658">
        <w:t xml:space="preserve"> Detailed guidance for each APP can</w:t>
      </w:r>
      <w:r>
        <w:t xml:space="preserve"> also</w:t>
      </w:r>
      <w:r w:rsidR="009A5658">
        <w:t xml:space="preserve"> be found on the OAIC website. </w:t>
      </w:r>
    </w:p>
    <w:p w14:paraId="3179E0E8" w14:textId="526B03A1" w:rsidR="005776EE" w:rsidRDefault="005776EE" w:rsidP="00A30EAA">
      <w:pPr>
        <w:pStyle w:val="NumberedHeading2"/>
      </w:pPr>
      <w:bookmarkStart w:id="138" w:name="_Toc220069906"/>
      <w:bookmarkStart w:id="139" w:name="_Toc220655082"/>
      <w:bookmarkStart w:id="140" w:name="_Toc231895168"/>
      <w:r>
        <w:t>What Are the APPs?</w:t>
      </w:r>
      <w:bookmarkEnd w:id="138"/>
      <w:bookmarkEnd w:id="139"/>
      <w:bookmarkEnd w:id="140"/>
    </w:p>
    <w:p w14:paraId="7E5BCE85" w14:textId="528FB11D" w:rsidR="005776EE" w:rsidRDefault="005776EE" w:rsidP="00A30EAA">
      <w:pPr>
        <w:pStyle w:val="Body"/>
      </w:pPr>
      <w:r>
        <w:t>The APPs are contained in Schedule 1 to the Privacy Act 1988 (</w:t>
      </w:r>
      <w:proofErr w:type="spellStart"/>
      <w:r>
        <w:t>Cth</w:t>
      </w:r>
      <w:proofErr w:type="spellEnd"/>
      <w:r>
        <w:t>).</w:t>
      </w:r>
      <w:r>
        <w:rPr>
          <w:rStyle w:val="FootnoteReference"/>
        </w:rPr>
        <w:footnoteReference w:id="73"/>
      </w:r>
      <w:r>
        <w:t xml:space="preserve"> They establish legally binding requirements for how APP entities (including organisations covered by the Act) must handle personal information. The APPs are supplemented by the OAIC's APP Guidelines, which provide detailed guidance on how each APP should be interpreted and applied.</w:t>
      </w:r>
      <w:r>
        <w:rPr>
          <w:rStyle w:val="FootnoteReference"/>
        </w:rPr>
        <w:footnoteReference w:id="74"/>
      </w:r>
      <w:r>
        <w:t xml:space="preserve"> </w:t>
      </w:r>
    </w:p>
    <w:p w14:paraId="230EB516" w14:textId="5A94C574" w:rsidR="005776EE" w:rsidRDefault="005776EE" w:rsidP="00A30EAA">
      <w:pPr>
        <w:pStyle w:val="NumberedHeading2"/>
      </w:pPr>
      <w:bookmarkStart w:id="141" w:name="_Toc220069907"/>
      <w:bookmarkStart w:id="142" w:name="_Toc220655083"/>
      <w:bookmarkStart w:id="143" w:name="_Toc231895169"/>
      <w:r>
        <w:t>Structure and Overview of the 13 APPs</w:t>
      </w:r>
      <w:bookmarkEnd w:id="141"/>
      <w:bookmarkEnd w:id="142"/>
      <w:bookmarkEnd w:id="143"/>
    </w:p>
    <w:p w14:paraId="0645CEB5" w14:textId="77777777" w:rsidR="005776EE" w:rsidRDefault="005776EE" w:rsidP="00A30EAA">
      <w:pPr>
        <w:pStyle w:val="Body"/>
      </w:pPr>
      <w:r>
        <w:t>The 13 APPs cover the complete lifecycle of personal information handling. They can be grouped into five categories:</w:t>
      </w:r>
    </w:p>
    <w:tbl>
      <w:tblPr>
        <w:tblW w:w="5000" w:type="pct"/>
        <w:tblCellMar>
          <w:left w:w="10" w:type="dxa"/>
          <w:right w:w="10" w:type="dxa"/>
        </w:tblCellMar>
        <w:tblLook w:val="04A0" w:firstRow="1" w:lastRow="0" w:firstColumn="1" w:lastColumn="0" w:noHBand="0" w:noVBand="1"/>
      </w:tblPr>
      <w:tblGrid>
        <w:gridCol w:w="1200"/>
        <w:gridCol w:w="2600"/>
        <w:gridCol w:w="5226"/>
      </w:tblGrid>
      <w:tr w:rsidR="005776EE" w14:paraId="461690C7" w14:textId="77777777" w:rsidTr="000E1801">
        <w:tc>
          <w:tcPr>
            <w:tcW w:w="1200" w:type="dxa"/>
            <w:shd w:val="clear" w:color="auto" w:fill="0F2D52"/>
            <w:tcMar>
              <w:top w:w="100" w:type="dxa"/>
              <w:left w:w="120" w:type="dxa"/>
              <w:bottom w:w="100" w:type="dxa"/>
              <w:right w:w="120" w:type="dxa"/>
            </w:tcMar>
          </w:tcPr>
          <w:p w14:paraId="3F17B4B2" w14:textId="77777777" w:rsidR="005776EE" w:rsidRPr="00AB09E1" w:rsidRDefault="005776EE" w:rsidP="0011154A">
            <w:pPr>
              <w:pStyle w:val="TableHeading"/>
            </w:pPr>
            <w:r w:rsidRPr="00AB09E1">
              <w:t>APP</w:t>
            </w:r>
          </w:p>
        </w:tc>
        <w:tc>
          <w:tcPr>
            <w:tcW w:w="2600" w:type="dxa"/>
            <w:shd w:val="clear" w:color="auto" w:fill="0F2D52"/>
            <w:tcMar>
              <w:top w:w="100" w:type="dxa"/>
              <w:left w:w="120" w:type="dxa"/>
              <w:bottom w:w="100" w:type="dxa"/>
              <w:right w:w="120" w:type="dxa"/>
            </w:tcMar>
          </w:tcPr>
          <w:p w14:paraId="0B7BDA52" w14:textId="77777777" w:rsidR="005776EE" w:rsidRPr="00AB09E1" w:rsidRDefault="005776EE" w:rsidP="0011154A">
            <w:pPr>
              <w:pStyle w:val="TableHeading"/>
            </w:pPr>
            <w:r w:rsidRPr="00AB09E1">
              <w:t>Title</w:t>
            </w:r>
          </w:p>
        </w:tc>
        <w:tc>
          <w:tcPr>
            <w:tcW w:w="5226" w:type="dxa"/>
            <w:shd w:val="clear" w:color="auto" w:fill="0F2D52"/>
            <w:tcMar>
              <w:top w:w="100" w:type="dxa"/>
              <w:left w:w="120" w:type="dxa"/>
              <w:bottom w:w="100" w:type="dxa"/>
              <w:right w:w="120" w:type="dxa"/>
            </w:tcMar>
          </w:tcPr>
          <w:p w14:paraId="29734479" w14:textId="77777777" w:rsidR="005776EE" w:rsidRPr="00AB09E1" w:rsidRDefault="005776EE" w:rsidP="0011154A">
            <w:pPr>
              <w:pStyle w:val="TableHeading"/>
            </w:pPr>
            <w:r w:rsidRPr="00AB09E1">
              <w:t>Core Requirement</w:t>
            </w:r>
          </w:p>
        </w:tc>
      </w:tr>
      <w:tr w:rsidR="005776EE" w14:paraId="6CC2F14F" w14:textId="77777777" w:rsidTr="000E1801">
        <w:tc>
          <w:tcPr>
            <w:tcW w:w="9026" w:type="dxa"/>
            <w:gridSpan w:val="3"/>
            <w:tcBorders>
              <w:bottom w:val="single" w:sz="4" w:space="0" w:color="auto"/>
            </w:tcBorders>
            <w:shd w:val="clear" w:color="auto" w:fill="E7E6E6" w:themeFill="background2"/>
            <w:tcMar>
              <w:top w:w="100" w:type="dxa"/>
              <w:left w:w="120" w:type="dxa"/>
              <w:bottom w:w="100" w:type="dxa"/>
              <w:right w:w="120" w:type="dxa"/>
            </w:tcMar>
          </w:tcPr>
          <w:p w14:paraId="6ABCEC52" w14:textId="77777777" w:rsidR="005776EE" w:rsidRDefault="005776EE" w:rsidP="0011154A">
            <w:pPr>
              <w:pStyle w:val="Tablecontent"/>
            </w:pPr>
            <w:r>
              <w:t>GOVERNANCE AND STANDARDS</w:t>
            </w:r>
          </w:p>
        </w:tc>
      </w:tr>
      <w:tr w:rsidR="005776EE" w14:paraId="28DA0701" w14:textId="77777777" w:rsidTr="000E1801">
        <w:tc>
          <w:tcPr>
            <w:tcW w:w="1200" w:type="dxa"/>
            <w:tcBorders>
              <w:top w:val="single" w:sz="4" w:space="0" w:color="auto"/>
              <w:bottom w:val="single" w:sz="4" w:space="0" w:color="auto"/>
            </w:tcBorders>
            <w:tcMar>
              <w:top w:w="100" w:type="dxa"/>
              <w:left w:w="120" w:type="dxa"/>
              <w:bottom w:w="100" w:type="dxa"/>
              <w:right w:w="120" w:type="dxa"/>
            </w:tcMar>
          </w:tcPr>
          <w:p w14:paraId="0DB056A5" w14:textId="77777777" w:rsidR="005776EE" w:rsidRDefault="005776EE" w:rsidP="0011154A">
            <w:pPr>
              <w:pStyle w:val="Tablecontent"/>
            </w:pPr>
            <w:r>
              <w:t>APP 1</w:t>
            </w:r>
          </w:p>
        </w:tc>
        <w:tc>
          <w:tcPr>
            <w:tcW w:w="2600" w:type="dxa"/>
            <w:tcBorders>
              <w:top w:val="single" w:sz="4" w:space="0" w:color="auto"/>
              <w:bottom w:val="single" w:sz="4" w:space="0" w:color="auto"/>
            </w:tcBorders>
            <w:tcMar>
              <w:top w:w="100" w:type="dxa"/>
              <w:left w:w="120" w:type="dxa"/>
              <w:bottom w:w="100" w:type="dxa"/>
              <w:right w:w="120" w:type="dxa"/>
            </w:tcMar>
          </w:tcPr>
          <w:p w14:paraId="40F89DA1" w14:textId="77777777" w:rsidR="005776EE" w:rsidRDefault="005776EE" w:rsidP="0011154A">
            <w:pPr>
              <w:pStyle w:val="Tablecontent"/>
            </w:pPr>
            <w:r>
              <w:t>Open and transparent management</w:t>
            </w:r>
          </w:p>
        </w:tc>
        <w:tc>
          <w:tcPr>
            <w:tcW w:w="5226" w:type="dxa"/>
            <w:tcBorders>
              <w:top w:val="single" w:sz="4" w:space="0" w:color="auto"/>
              <w:bottom w:val="single" w:sz="4" w:space="0" w:color="auto"/>
            </w:tcBorders>
            <w:tcMar>
              <w:top w:w="100" w:type="dxa"/>
              <w:left w:w="120" w:type="dxa"/>
              <w:bottom w:w="100" w:type="dxa"/>
              <w:right w:w="120" w:type="dxa"/>
            </w:tcMar>
          </w:tcPr>
          <w:p w14:paraId="1CC41157" w14:textId="77777777" w:rsidR="005776EE" w:rsidRDefault="005776EE" w:rsidP="0011154A">
            <w:pPr>
              <w:pStyle w:val="Tablecontent"/>
            </w:pPr>
            <w:r>
              <w:t>Take reasonable steps to implement practices, procedures and systems; have a clearly expressed privacy policy</w:t>
            </w:r>
          </w:p>
        </w:tc>
      </w:tr>
      <w:tr w:rsidR="005776EE" w14:paraId="1F958229" w14:textId="77777777" w:rsidTr="000E1801">
        <w:tc>
          <w:tcPr>
            <w:tcW w:w="9026" w:type="dxa"/>
            <w:gridSpan w:val="3"/>
            <w:tcBorders>
              <w:top w:val="single" w:sz="4" w:space="0" w:color="auto"/>
              <w:bottom w:val="single" w:sz="4" w:space="0" w:color="auto"/>
            </w:tcBorders>
            <w:shd w:val="clear" w:color="auto" w:fill="E7E6E6" w:themeFill="background2"/>
            <w:tcMar>
              <w:top w:w="100" w:type="dxa"/>
              <w:left w:w="120" w:type="dxa"/>
              <w:bottom w:w="100" w:type="dxa"/>
              <w:right w:w="120" w:type="dxa"/>
            </w:tcMar>
          </w:tcPr>
          <w:p w14:paraId="4F4B8761" w14:textId="77777777" w:rsidR="005776EE" w:rsidRDefault="005776EE" w:rsidP="0011154A">
            <w:pPr>
              <w:pStyle w:val="Tablecontent"/>
            </w:pPr>
            <w:r>
              <w:t>COLLECTION OF PERSONAL INFORMATION</w:t>
            </w:r>
          </w:p>
        </w:tc>
      </w:tr>
      <w:tr w:rsidR="005776EE" w14:paraId="257EAFEB" w14:textId="77777777" w:rsidTr="000E1801">
        <w:tc>
          <w:tcPr>
            <w:tcW w:w="1200" w:type="dxa"/>
            <w:tcBorders>
              <w:top w:val="single" w:sz="4" w:space="0" w:color="auto"/>
              <w:bottom w:val="single" w:sz="4" w:space="0" w:color="auto"/>
            </w:tcBorders>
            <w:tcMar>
              <w:top w:w="100" w:type="dxa"/>
              <w:left w:w="120" w:type="dxa"/>
              <w:bottom w:w="100" w:type="dxa"/>
              <w:right w:w="120" w:type="dxa"/>
            </w:tcMar>
          </w:tcPr>
          <w:p w14:paraId="45AF2447" w14:textId="77777777" w:rsidR="005776EE" w:rsidRDefault="005776EE" w:rsidP="0011154A">
            <w:pPr>
              <w:pStyle w:val="Tablecontent"/>
            </w:pPr>
            <w:r>
              <w:t>APP 2</w:t>
            </w:r>
          </w:p>
        </w:tc>
        <w:tc>
          <w:tcPr>
            <w:tcW w:w="2600" w:type="dxa"/>
            <w:tcBorders>
              <w:top w:val="single" w:sz="4" w:space="0" w:color="auto"/>
              <w:bottom w:val="single" w:sz="4" w:space="0" w:color="auto"/>
            </w:tcBorders>
            <w:tcMar>
              <w:top w:w="100" w:type="dxa"/>
              <w:left w:w="120" w:type="dxa"/>
              <w:bottom w:w="100" w:type="dxa"/>
              <w:right w:w="120" w:type="dxa"/>
            </w:tcMar>
          </w:tcPr>
          <w:p w14:paraId="6B0F9946" w14:textId="77777777" w:rsidR="005776EE" w:rsidRDefault="005776EE" w:rsidP="0011154A">
            <w:pPr>
              <w:pStyle w:val="Tablecontent"/>
            </w:pPr>
            <w:r>
              <w:t>Anonymity and pseudonymity</w:t>
            </w:r>
          </w:p>
        </w:tc>
        <w:tc>
          <w:tcPr>
            <w:tcW w:w="5226" w:type="dxa"/>
            <w:tcBorders>
              <w:top w:val="single" w:sz="4" w:space="0" w:color="auto"/>
              <w:bottom w:val="single" w:sz="4" w:space="0" w:color="auto"/>
            </w:tcBorders>
            <w:tcMar>
              <w:top w:w="100" w:type="dxa"/>
              <w:left w:w="120" w:type="dxa"/>
              <w:bottom w:w="100" w:type="dxa"/>
              <w:right w:w="120" w:type="dxa"/>
            </w:tcMar>
          </w:tcPr>
          <w:p w14:paraId="5077F855" w14:textId="77777777" w:rsidR="005776EE" w:rsidRDefault="005776EE" w:rsidP="0011154A">
            <w:pPr>
              <w:pStyle w:val="Tablecontent"/>
            </w:pPr>
            <w:r>
              <w:t>Give individuals the option to interact anonymously or pseudonymously where practicable</w:t>
            </w:r>
          </w:p>
        </w:tc>
      </w:tr>
      <w:tr w:rsidR="005776EE" w14:paraId="121A70D3" w14:textId="77777777" w:rsidTr="000E1801">
        <w:tc>
          <w:tcPr>
            <w:tcW w:w="1200" w:type="dxa"/>
            <w:tcBorders>
              <w:top w:val="single" w:sz="4" w:space="0" w:color="auto"/>
              <w:bottom w:val="single" w:sz="4" w:space="0" w:color="auto"/>
            </w:tcBorders>
            <w:tcMar>
              <w:top w:w="100" w:type="dxa"/>
              <w:left w:w="120" w:type="dxa"/>
              <w:bottom w:w="100" w:type="dxa"/>
              <w:right w:w="120" w:type="dxa"/>
            </w:tcMar>
          </w:tcPr>
          <w:p w14:paraId="082F9873" w14:textId="77777777" w:rsidR="005776EE" w:rsidRDefault="005776EE" w:rsidP="0011154A">
            <w:pPr>
              <w:pStyle w:val="Tablecontent"/>
            </w:pPr>
            <w:r>
              <w:t>APP 3</w:t>
            </w:r>
          </w:p>
        </w:tc>
        <w:tc>
          <w:tcPr>
            <w:tcW w:w="2600" w:type="dxa"/>
            <w:tcBorders>
              <w:top w:val="single" w:sz="4" w:space="0" w:color="auto"/>
              <w:bottom w:val="single" w:sz="4" w:space="0" w:color="auto"/>
            </w:tcBorders>
            <w:tcMar>
              <w:top w:w="100" w:type="dxa"/>
              <w:left w:w="120" w:type="dxa"/>
              <w:bottom w:w="100" w:type="dxa"/>
              <w:right w:w="120" w:type="dxa"/>
            </w:tcMar>
          </w:tcPr>
          <w:p w14:paraId="24F83198" w14:textId="77777777" w:rsidR="005776EE" w:rsidRDefault="005776EE" w:rsidP="0011154A">
            <w:pPr>
              <w:pStyle w:val="Tablecontent"/>
            </w:pPr>
            <w:r>
              <w:t>Collection of solicited information</w:t>
            </w:r>
          </w:p>
        </w:tc>
        <w:tc>
          <w:tcPr>
            <w:tcW w:w="5226" w:type="dxa"/>
            <w:tcBorders>
              <w:top w:val="single" w:sz="4" w:space="0" w:color="auto"/>
              <w:bottom w:val="single" w:sz="4" w:space="0" w:color="auto"/>
            </w:tcBorders>
            <w:tcMar>
              <w:top w:w="100" w:type="dxa"/>
              <w:left w:w="120" w:type="dxa"/>
              <w:bottom w:w="100" w:type="dxa"/>
              <w:right w:w="120" w:type="dxa"/>
            </w:tcMar>
          </w:tcPr>
          <w:p w14:paraId="60936870" w14:textId="77777777" w:rsidR="005776EE" w:rsidRDefault="005776EE" w:rsidP="0011154A">
            <w:pPr>
              <w:pStyle w:val="Tablecontent"/>
            </w:pPr>
            <w:r>
              <w:t>Only collect personal information that is reasonably necessary; collect sensitive information only with consent or under exception</w:t>
            </w:r>
          </w:p>
        </w:tc>
      </w:tr>
      <w:tr w:rsidR="005776EE" w14:paraId="71E842E8" w14:textId="77777777" w:rsidTr="000E1801">
        <w:tc>
          <w:tcPr>
            <w:tcW w:w="1200" w:type="dxa"/>
            <w:tcBorders>
              <w:top w:val="single" w:sz="4" w:space="0" w:color="auto"/>
              <w:bottom w:val="single" w:sz="4" w:space="0" w:color="auto"/>
            </w:tcBorders>
            <w:tcMar>
              <w:top w:w="100" w:type="dxa"/>
              <w:left w:w="120" w:type="dxa"/>
              <w:bottom w:w="100" w:type="dxa"/>
              <w:right w:w="120" w:type="dxa"/>
            </w:tcMar>
          </w:tcPr>
          <w:p w14:paraId="1B6703DB" w14:textId="77777777" w:rsidR="005776EE" w:rsidRDefault="005776EE" w:rsidP="0011154A">
            <w:pPr>
              <w:pStyle w:val="Tablecontent"/>
            </w:pPr>
            <w:r>
              <w:t>APP 4</w:t>
            </w:r>
          </w:p>
        </w:tc>
        <w:tc>
          <w:tcPr>
            <w:tcW w:w="2600" w:type="dxa"/>
            <w:tcBorders>
              <w:top w:val="single" w:sz="4" w:space="0" w:color="auto"/>
              <w:bottom w:val="single" w:sz="4" w:space="0" w:color="auto"/>
            </w:tcBorders>
            <w:tcMar>
              <w:top w:w="100" w:type="dxa"/>
              <w:left w:w="120" w:type="dxa"/>
              <w:bottom w:w="100" w:type="dxa"/>
              <w:right w:w="120" w:type="dxa"/>
            </w:tcMar>
          </w:tcPr>
          <w:p w14:paraId="5A0B9AAF" w14:textId="77777777" w:rsidR="005776EE" w:rsidRDefault="005776EE" w:rsidP="0011154A">
            <w:pPr>
              <w:pStyle w:val="Tablecontent"/>
            </w:pPr>
            <w:r>
              <w:t>Dealing with unsolicited information</w:t>
            </w:r>
          </w:p>
        </w:tc>
        <w:tc>
          <w:tcPr>
            <w:tcW w:w="5226" w:type="dxa"/>
            <w:tcBorders>
              <w:top w:val="single" w:sz="4" w:space="0" w:color="auto"/>
              <w:bottom w:val="single" w:sz="4" w:space="0" w:color="auto"/>
            </w:tcBorders>
            <w:tcMar>
              <w:top w:w="100" w:type="dxa"/>
              <w:left w:w="120" w:type="dxa"/>
              <w:bottom w:w="100" w:type="dxa"/>
              <w:right w:w="120" w:type="dxa"/>
            </w:tcMar>
          </w:tcPr>
          <w:p w14:paraId="0A3A1946" w14:textId="77777777" w:rsidR="005776EE" w:rsidRDefault="005776EE" w:rsidP="0011154A">
            <w:pPr>
              <w:pStyle w:val="Tablecontent"/>
            </w:pPr>
            <w:r>
              <w:t>Determine if unsolicited information could have been collected under APP 3; if not, destroy or de-identify</w:t>
            </w:r>
          </w:p>
        </w:tc>
      </w:tr>
      <w:tr w:rsidR="005776EE" w14:paraId="5783C5FF" w14:textId="77777777" w:rsidTr="000E1801">
        <w:tc>
          <w:tcPr>
            <w:tcW w:w="1200" w:type="dxa"/>
            <w:tcBorders>
              <w:top w:val="single" w:sz="4" w:space="0" w:color="auto"/>
              <w:bottom w:val="single" w:sz="4" w:space="0" w:color="auto"/>
            </w:tcBorders>
            <w:tcMar>
              <w:top w:w="100" w:type="dxa"/>
              <w:left w:w="120" w:type="dxa"/>
              <w:bottom w:w="100" w:type="dxa"/>
              <w:right w:w="120" w:type="dxa"/>
            </w:tcMar>
          </w:tcPr>
          <w:p w14:paraId="765BAC20" w14:textId="77777777" w:rsidR="005776EE" w:rsidRDefault="005776EE" w:rsidP="0011154A">
            <w:pPr>
              <w:pStyle w:val="Tablecontent"/>
            </w:pPr>
            <w:r>
              <w:lastRenderedPageBreak/>
              <w:t>APP 5</w:t>
            </w:r>
          </w:p>
        </w:tc>
        <w:tc>
          <w:tcPr>
            <w:tcW w:w="2600" w:type="dxa"/>
            <w:tcBorders>
              <w:top w:val="single" w:sz="4" w:space="0" w:color="auto"/>
              <w:bottom w:val="single" w:sz="4" w:space="0" w:color="auto"/>
            </w:tcBorders>
            <w:tcMar>
              <w:top w:w="100" w:type="dxa"/>
              <w:left w:w="120" w:type="dxa"/>
              <w:bottom w:w="100" w:type="dxa"/>
              <w:right w:w="120" w:type="dxa"/>
            </w:tcMar>
          </w:tcPr>
          <w:p w14:paraId="35E72C8E" w14:textId="77777777" w:rsidR="005776EE" w:rsidRDefault="005776EE" w:rsidP="0011154A">
            <w:pPr>
              <w:pStyle w:val="Tablecontent"/>
            </w:pPr>
            <w:r>
              <w:t>Notification of collection</w:t>
            </w:r>
          </w:p>
        </w:tc>
        <w:tc>
          <w:tcPr>
            <w:tcW w:w="5226" w:type="dxa"/>
            <w:tcBorders>
              <w:top w:val="single" w:sz="4" w:space="0" w:color="auto"/>
              <w:bottom w:val="single" w:sz="4" w:space="0" w:color="auto"/>
            </w:tcBorders>
            <w:tcMar>
              <w:top w:w="100" w:type="dxa"/>
              <w:left w:w="120" w:type="dxa"/>
              <w:bottom w:w="100" w:type="dxa"/>
              <w:right w:w="120" w:type="dxa"/>
            </w:tcMar>
          </w:tcPr>
          <w:p w14:paraId="00A510D7" w14:textId="77777777" w:rsidR="005776EE" w:rsidRDefault="005776EE" w:rsidP="0011154A">
            <w:pPr>
              <w:pStyle w:val="Tablecontent"/>
            </w:pPr>
            <w:r>
              <w:t>Notify individuals at or before collection about what is collected, why, and how to access/correct it</w:t>
            </w:r>
          </w:p>
        </w:tc>
      </w:tr>
      <w:tr w:rsidR="005776EE" w14:paraId="0B266022" w14:textId="77777777" w:rsidTr="000E1801">
        <w:tc>
          <w:tcPr>
            <w:tcW w:w="9026" w:type="dxa"/>
            <w:gridSpan w:val="3"/>
            <w:tcBorders>
              <w:top w:val="single" w:sz="4" w:space="0" w:color="auto"/>
              <w:bottom w:val="single" w:sz="4" w:space="0" w:color="auto"/>
            </w:tcBorders>
            <w:shd w:val="clear" w:color="auto" w:fill="E7E6E6" w:themeFill="background2"/>
            <w:tcMar>
              <w:top w:w="100" w:type="dxa"/>
              <w:left w:w="120" w:type="dxa"/>
              <w:bottom w:w="100" w:type="dxa"/>
              <w:right w:w="120" w:type="dxa"/>
            </w:tcMar>
          </w:tcPr>
          <w:p w14:paraId="754FA2D3" w14:textId="77777777" w:rsidR="005776EE" w:rsidRDefault="005776EE" w:rsidP="0011154A">
            <w:pPr>
              <w:pStyle w:val="Tablecontent"/>
            </w:pPr>
            <w:r>
              <w:t>USE AND DISCLOSURE OF PERSONAL INFORMATION</w:t>
            </w:r>
          </w:p>
        </w:tc>
      </w:tr>
      <w:tr w:rsidR="005776EE" w14:paraId="3E33C6ED" w14:textId="77777777" w:rsidTr="000E1801">
        <w:tc>
          <w:tcPr>
            <w:tcW w:w="1200" w:type="dxa"/>
            <w:tcBorders>
              <w:top w:val="single" w:sz="4" w:space="0" w:color="auto"/>
              <w:bottom w:val="single" w:sz="4" w:space="0" w:color="auto"/>
            </w:tcBorders>
            <w:tcMar>
              <w:top w:w="100" w:type="dxa"/>
              <w:left w:w="120" w:type="dxa"/>
              <w:bottom w:w="100" w:type="dxa"/>
              <w:right w:w="120" w:type="dxa"/>
            </w:tcMar>
          </w:tcPr>
          <w:p w14:paraId="5A42A5FB" w14:textId="77777777" w:rsidR="005776EE" w:rsidRDefault="005776EE" w:rsidP="0011154A">
            <w:pPr>
              <w:pStyle w:val="Tablecontent"/>
            </w:pPr>
            <w:r>
              <w:t>APP 6</w:t>
            </w:r>
          </w:p>
        </w:tc>
        <w:tc>
          <w:tcPr>
            <w:tcW w:w="2600" w:type="dxa"/>
            <w:tcBorders>
              <w:top w:val="single" w:sz="4" w:space="0" w:color="auto"/>
              <w:bottom w:val="single" w:sz="4" w:space="0" w:color="auto"/>
            </w:tcBorders>
            <w:tcMar>
              <w:top w:w="100" w:type="dxa"/>
              <w:left w:w="120" w:type="dxa"/>
              <w:bottom w:w="100" w:type="dxa"/>
              <w:right w:w="120" w:type="dxa"/>
            </w:tcMar>
          </w:tcPr>
          <w:p w14:paraId="49E67FC6" w14:textId="77777777" w:rsidR="005776EE" w:rsidRDefault="005776EE" w:rsidP="0011154A">
            <w:pPr>
              <w:pStyle w:val="Tablecontent"/>
            </w:pPr>
            <w:r>
              <w:t>Use or disclosure</w:t>
            </w:r>
          </w:p>
        </w:tc>
        <w:tc>
          <w:tcPr>
            <w:tcW w:w="5226" w:type="dxa"/>
            <w:tcBorders>
              <w:top w:val="single" w:sz="4" w:space="0" w:color="auto"/>
              <w:bottom w:val="single" w:sz="4" w:space="0" w:color="auto"/>
            </w:tcBorders>
            <w:tcMar>
              <w:top w:w="100" w:type="dxa"/>
              <w:left w:w="120" w:type="dxa"/>
              <w:bottom w:w="100" w:type="dxa"/>
              <w:right w:w="120" w:type="dxa"/>
            </w:tcMar>
          </w:tcPr>
          <w:p w14:paraId="2AC0B6DB" w14:textId="77777777" w:rsidR="005776EE" w:rsidRDefault="005776EE" w:rsidP="0011154A">
            <w:pPr>
              <w:pStyle w:val="Tablecontent"/>
            </w:pPr>
            <w:r>
              <w:t>Only use or disclose for the primary purpose of collection, or for a secondary purpose where an exception applies</w:t>
            </w:r>
          </w:p>
        </w:tc>
      </w:tr>
      <w:tr w:rsidR="005776EE" w14:paraId="53A801DE" w14:textId="77777777" w:rsidTr="000E1801">
        <w:tc>
          <w:tcPr>
            <w:tcW w:w="1200" w:type="dxa"/>
            <w:tcBorders>
              <w:top w:val="single" w:sz="4" w:space="0" w:color="auto"/>
              <w:bottom w:val="single" w:sz="4" w:space="0" w:color="auto"/>
            </w:tcBorders>
            <w:tcMar>
              <w:top w:w="100" w:type="dxa"/>
              <w:left w:w="120" w:type="dxa"/>
              <w:bottom w:w="100" w:type="dxa"/>
              <w:right w:w="120" w:type="dxa"/>
            </w:tcMar>
          </w:tcPr>
          <w:p w14:paraId="636343FE" w14:textId="77777777" w:rsidR="005776EE" w:rsidRDefault="005776EE" w:rsidP="0011154A">
            <w:pPr>
              <w:pStyle w:val="Tablecontent"/>
            </w:pPr>
            <w:r>
              <w:t>APP 7</w:t>
            </w:r>
          </w:p>
        </w:tc>
        <w:tc>
          <w:tcPr>
            <w:tcW w:w="2600" w:type="dxa"/>
            <w:tcBorders>
              <w:top w:val="single" w:sz="4" w:space="0" w:color="auto"/>
              <w:bottom w:val="single" w:sz="4" w:space="0" w:color="auto"/>
            </w:tcBorders>
            <w:tcMar>
              <w:top w:w="100" w:type="dxa"/>
              <w:left w:w="120" w:type="dxa"/>
              <w:bottom w:w="100" w:type="dxa"/>
              <w:right w:w="120" w:type="dxa"/>
            </w:tcMar>
          </w:tcPr>
          <w:p w14:paraId="72345591" w14:textId="77777777" w:rsidR="005776EE" w:rsidRDefault="005776EE" w:rsidP="0011154A">
            <w:pPr>
              <w:pStyle w:val="Tablecontent"/>
            </w:pPr>
            <w:r>
              <w:t>Direct marketing</w:t>
            </w:r>
          </w:p>
        </w:tc>
        <w:tc>
          <w:tcPr>
            <w:tcW w:w="5226" w:type="dxa"/>
            <w:tcBorders>
              <w:top w:val="single" w:sz="4" w:space="0" w:color="auto"/>
              <w:bottom w:val="single" w:sz="4" w:space="0" w:color="auto"/>
            </w:tcBorders>
            <w:tcMar>
              <w:top w:w="100" w:type="dxa"/>
              <w:left w:w="120" w:type="dxa"/>
              <w:bottom w:w="100" w:type="dxa"/>
              <w:right w:w="120" w:type="dxa"/>
            </w:tcMar>
          </w:tcPr>
          <w:p w14:paraId="5CC383E6" w14:textId="77777777" w:rsidR="005776EE" w:rsidRDefault="005776EE" w:rsidP="0011154A">
            <w:pPr>
              <w:pStyle w:val="Tablecontent"/>
            </w:pPr>
            <w:r>
              <w:t>Do not use personal information for direct marketing unless specific conditions met</w:t>
            </w:r>
          </w:p>
        </w:tc>
      </w:tr>
      <w:tr w:rsidR="005776EE" w14:paraId="7FAA957B" w14:textId="77777777" w:rsidTr="000E1801">
        <w:tc>
          <w:tcPr>
            <w:tcW w:w="1200" w:type="dxa"/>
            <w:tcBorders>
              <w:top w:val="single" w:sz="4" w:space="0" w:color="auto"/>
              <w:bottom w:val="single" w:sz="4" w:space="0" w:color="auto"/>
            </w:tcBorders>
            <w:tcMar>
              <w:top w:w="100" w:type="dxa"/>
              <w:left w:w="120" w:type="dxa"/>
              <w:bottom w:w="100" w:type="dxa"/>
              <w:right w:w="120" w:type="dxa"/>
            </w:tcMar>
          </w:tcPr>
          <w:p w14:paraId="6F5C9064" w14:textId="77777777" w:rsidR="005776EE" w:rsidRDefault="005776EE" w:rsidP="0011154A">
            <w:pPr>
              <w:pStyle w:val="Tablecontent"/>
            </w:pPr>
            <w:r>
              <w:t>APP 8</w:t>
            </w:r>
          </w:p>
        </w:tc>
        <w:tc>
          <w:tcPr>
            <w:tcW w:w="2600" w:type="dxa"/>
            <w:tcBorders>
              <w:top w:val="single" w:sz="4" w:space="0" w:color="auto"/>
              <w:bottom w:val="single" w:sz="4" w:space="0" w:color="auto"/>
            </w:tcBorders>
            <w:tcMar>
              <w:top w:w="100" w:type="dxa"/>
              <w:left w:w="120" w:type="dxa"/>
              <w:bottom w:w="100" w:type="dxa"/>
              <w:right w:w="120" w:type="dxa"/>
            </w:tcMar>
          </w:tcPr>
          <w:p w14:paraId="4D1C3800" w14:textId="77777777" w:rsidR="005776EE" w:rsidRDefault="005776EE" w:rsidP="0011154A">
            <w:pPr>
              <w:pStyle w:val="Tablecontent"/>
            </w:pPr>
            <w:r>
              <w:t>Cross-border disclosure</w:t>
            </w:r>
          </w:p>
        </w:tc>
        <w:tc>
          <w:tcPr>
            <w:tcW w:w="5226" w:type="dxa"/>
            <w:tcBorders>
              <w:top w:val="single" w:sz="4" w:space="0" w:color="auto"/>
              <w:bottom w:val="single" w:sz="4" w:space="0" w:color="auto"/>
            </w:tcBorders>
            <w:tcMar>
              <w:top w:w="100" w:type="dxa"/>
              <w:left w:w="120" w:type="dxa"/>
              <w:bottom w:w="100" w:type="dxa"/>
              <w:right w:w="120" w:type="dxa"/>
            </w:tcMar>
          </w:tcPr>
          <w:p w14:paraId="4E9D3296" w14:textId="736F6588" w:rsidR="005776EE" w:rsidRDefault="005776EE" w:rsidP="0011154A">
            <w:pPr>
              <w:pStyle w:val="Tablecontent"/>
            </w:pPr>
            <w:r>
              <w:t xml:space="preserve">Take reasonable steps before disclosing overseas </w:t>
            </w:r>
            <w:r w:rsidR="00073BB4">
              <w:t xml:space="preserve">(such as using software </w:t>
            </w:r>
            <w:r w:rsidR="002B6672">
              <w:t xml:space="preserve">processed on overseas servers) </w:t>
            </w:r>
            <w:r>
              <w:t>to ensure the recipient does not breach the APPs</w:t>
            </w:r>
          </w:p>
        </w:tc>
      </w:tr>
      <w:tr w:rsidR="005776EE" w14:paraId="4EE40427" w14:textId="77777777" w:rsidTr="000E1801">
        <w:tc>
          <w:tcPr>
            <w:tcW w:w="1200" w:type="dxa"/>
            <w:tcBorders>
              <w:top w:val="single" w:sz="4" w:space="0" w:color="auto"/>
              <w:bottom w:val="single" w:sz="4" w:space="0" w:color="auto"/>
            </w:tcBorders>
            <w:tcMar>
              <w:top w:w="100" w:type="dxa"/>
              <w:left w:w="120" w:type="dxa"/>
              <w:bottom w:w="100" w:type="dxa"/>
              <w:right w:w="120" w:type="dxa"/>
            </w:tcMar>
          </w:tcPr>
          <w:p w14:paraId="4E358C97" w14:textId="77777777" w:rsidR="005776EE" w:rsidRDefault="005776EE" w:rsidP="0011154A">
            <w:pPr>
              <w:pStyle w:val="Tablecontent"/>
            </w:pPr>
            <w:r>
              <w:t>APP 9</w:t>
            </w:r>
          </w:p>
        </w:tc>
        <w:tc>
          <w:tcPr>
            <w:tcW w:w="2600" w:type="dxa"/>
            <w:tcBorders>
              <w:top w:val="single" w:sz="4" w:space="0" w:color="auto"/>
              <w:bottom w:val="single" w:sz="4" w:space="0" w:color="auto"/>
            </w:tcBorders>
            <w:tcMar>
              <w:top w:w="100" w:type="dxa"/>
              <w:left w:w="120" w:type="dxa"/>
              <w:bottom w:w="100" w:type="dxa"/>
              <w:right w:w="120" w:type="dxa"/>
            </w:tcMar>
          </w:tcPr>
          <w:p w14:paraId="775F4EE6" w14:textId="77777777" w:rsidR="005776EE" w:rsidRDefault="005776EE" w:rsidP="0011154A">
            <w:pPr>
              <w:pStyle w:val="Tablecontent"/>
            </w:pPr>
            <w:r>
              <w:t>Adoption, use or disclosure of government identifiers</w:t>
            </w:r>
          </w:p>
        </w:tc>
        <w:tc>
          <w:tcPr>
            <w:tcW w:w="5226" w:type="dxa"/>
            <w:tcBorders>
              <w:top w:val="single" w:sz="4" w:space="0" w:color="auto"/>
              <w:bottom w:val="single" w:sz="4" w:space="0" w:color="auto"/>
            </w:tcBorders>
            <w:tcMar>
              <w:top w:w="100" w:type="dxa"/>
              <w:left w:w="120" w:type="dxa"/>
              <w:bottom w:w="100" w:type="dxa"/>
              <w:right w:w="120" w:type="dxa"/>
            </w:tcMar>
          </w:tcPr>
          <w:p w14:paraId="1E62C9CA" w14:textId="77777777" w:rsidR="005776EE" w:rsidRDefault="005776EE" w:rsidP="0011154A">
            <w:pPr>
              <w:pStyle w:val="Tablecontent"/>
            </w:pPr>
            <w:r>
              <w:t>Must not adopt government identifiers as own identifier; limited circumstances for use/disclosure</w:t>
            </w:r>
          </w:p>
        </w:tc>
      </w:tr>
      <w:tr w:rsidR="005776EE" w14:paraId="7B81096C" w14:textId="77777777" w:rsidTr="000E1801">
        <w:tc>
          <w:tcPr>
            <w:tcW w:w="9026" w:type="dxa"/>
            <w:gridSpan w:val="3"/>
            <w:tcBorders>
              <w:top w:val="single" w:sz="4" w:space="0" w:color="auto"/>
              <w:bottom w:val="single" w:sz="4" w:space="0" w:color="auto"/>
            </w:tcBorders>
            <w:shd w:val="clear" w:color="auto" w:fill="E7E6E6" w:themeFill="background2"/>
            <w:tcMar>
              <w:top w:w="100" w:type="dxa"/>
              <w:left w:w="120" w:type="dxa"/>
              <w:bottom w:w="100" w:type="dxa"/>
              <w:right w:w="120" w:type="dxa"/>
            </w:tcMar>
          </w:tcPr>
          <w:p w14:paraId="1C8027BC" w14:textId="77777777" w:rsidR="005776EE" w:rsidRDefault="005776EE" w:rsidP="0011154A">
            <w:pPr>
              <w:pStyle w:val="Tablecontent"/>
            </w:pPr>
            <w:r>
              <w:t>DATA QUALITY AND SECURITY</w:t>
            </w:r>
          </w:p>
        </w:tc>
      </w:tr>
      <w:tr w:rsidR="005776EE" w14:paraId="34749FB5" w14:textId="77777777" w:rsidTr="000E1801">
        <w:tc>
          <w:tcPr>
            <w:tcW w:w="1200" w:type="dxa"/>
            <w:tcBorders>
              <w:top w:val="single" w:sz="4" w:space="0" w:color="auto"/>
              <w:bottom w:val="single" w:sz="4" w:space="0" w:color="auto"/>
            </w:tcBorders>
            <w:tcMar>
              <w:top w:w="100" w:type="dxa"/>
              <w:left w:w="120" w:type="dxa"/>
              <w:bottom w:w="100" w:type="dxa"/>
              <w:right w:w="120" w:type="dxa"/>
            </w:tcMar>
          </w:tcPr>
          <w:p w14:paraId="205361EF" w14:textId="77777777" w:rsidR="005776EE" w:rsidRDefault="005776EE" w:rsidP="0011154A">
            <w:pPr>
              <w:pStyle w:val="Tablecontent"/>
            </w:pPr>
            <w:r>
              <w:t>APP 10</w:t>
            </w:r>
          </w:p>
        </w:tc>
        <w:tc>
          <w:tcPr>
            <w:tcW w:w="2600" w:type="dxa"/>
            <w:tcBorders>
              <w:top w:val="single" w:sz="4" w:space="0" w:color="auto"/>
              <w:bottom w:val="single" w:sz="4" w:space="0" w:color="auto"/>
            </w:tcBorders>
            <w:tcMar>
              <w:top w:w="100" w:type="dxa"/>
              <w:left w:w="120" w:type="dxa"/>
              <w:bottom w:w="100" w:type="dxa"/>
              <w:right w:w="120" w:type="dxa"/>
            </w:tcMar>
          </w:tcPr>
          <w:p w14:paraId="39E0BE4E" w14:textId="77777777" w:rsidR="005776EE" w:rsidRDefault="005776EE" w:rsidP="0011154A">
            <w:pPr>
              <w:pStyle w:val="Tablecontent"/>
            </w:pPr>
            <w:r>
              <w:t>Quality of personal information</w:t>
            </w:r>
          </w:p>
        </w:tc>
        <w:tc>
          <w:tcPr>
            <w:tcW w:w="5226" w:type="dxa"/>
            <w:tcBorders>
              <w:top w:val="single" w:sz="4" w:space="0" w:color="auto"/>
              <w:bottom w:val="single" w:sz="4" w:space="0" w:color="auto"/>
            </w:tcBorders>
            <w:tcMar>
              <w:top w:w="100" w:type="dxa"/>
              <w:left w:w="120" w:type="dxa"/>
              <w:bottom w:w="100" w:type="dxa"/>
              <w:right w:w="120" w:type="dxa"/>
            </w:tcMar>
          </w:tcPr>
          <w:p w14:paraId="7DF17DD0" w14:textId="77777777" w:rsidR="005776EE" w:rsidRDefault="005776EE" w:rsidP="0011154A">
            <w:pPr>
              <w:pStyle w:val="Tablecontent"/>
            </w:pPr>
            <w:r>
              <w:t>Take reasonable steps to ensure personal information is accurate, up-to-date, complete and relevant</w:t>
            </w:r>
          </w:p>
        </w:tc>
      </w:tr>
      <w:tr w:rsidR="005776EE" w14:paraId="00E3C2CB" w14:textId="77777777" w:rsidTr="000E1801">
        <w:tc>
          <w:tcPr>
            <w:tcW w:w="1200" w:type="dxa"/>
            <w:tcBorders>
              <w:top w:val="single" w:sz="4" w:space="0" w:color="auto"/>
              <w:bottom w:val="single" w:sz="4" w:space="0" w:color="auto"/>
            </w:tcBorders>
            <w:tcMar>
              <w:top w:w="100" w:type="dxa"/>
              <w:left w:w="120" w:type="dxa"/>
              <w:bottom w:w="100" w:type="dxa"/>
              <w:right w:w="120" w:type="dxa"/>
            </w:tcMar>
          </w:tcPr>
          <w:p w14:paraId="791FA211" w14:textId="77777777" w:rsidR="005776EE" w:rsidRDefault="005776EE" w:rsidP="0011154A">
            <w:pPr>
              <w:pStyle w:val="Tablecontent"/>
            </w:pPr>
            <w:r>
              <w:t>APP 11</w:t>
            </w:r>
          </w:p>
        </w:tc>
        <w:tc>
          <w:tcPr>
            <w:tcW w:w="2600" w:type="dxa"/>
            <w:tcBorders>
              <w:top w:val="single" w:sz="4" w:space="0" w:color="auto"/>
              <w:bottom w:val="single" w:sz="4" w:space="0" w:color="auto"/>
            </w:tcBorders>
            <w:tcMar>
              <w:top w:w="100" w:type="dxa"/>
              <w:left w:w="120" w:type="dxa"/>
              <w:bottom w:w="100" w:type="dxa"/>
              <w:right w:w="120" w:type="dxa"/>
            </w:tcMar>
          </w:tcPr>
          <w:p w14:paraId="4D9952AC" w14:textId="77777777" w:rsidR="005776EE" w:rsidRDefault="005776EE" w:rsidP="0011154A">
            <w:pPr>
              <w:pStyle w:val="Tablecontent"/>
            </w:pPr>
            <w:r>
              <w:t>Security of personal information</w:t>
            </w:r>
          </w:p>
        </w:tc>
        <w:tc>
          <w:tcPr>
            <w:tcW w:w="5226" w:type="dxa"/>
            <w:tcBorders>
              <w:top w:val="single" w:sz="4" w:space="0" w:color="auto"/>
              <w:bottom w:val="single" w:sz="4" w:space="0" w:color="auto"/>
            </w:tcBorders>
            <w:tcMar>
              <w:top w:w="100" w:type="dxa"/>
              <w:left w:w="120" w:type="dxa"/>
              <w:bottom w:w="100" w:type="dxa"/>
              <w:right w:w="120" w:type="dxa"/>
            </w:tcMar>
          </w:tcPr>
          <w:p w14:paraId="0E056AED" w14:textId="77777777" w:rsidR="005776EE" w:rsidRDefault="005776EE" w:rsidP="0011154A">
            <w:pPr>
              <w:pStyle w:val="Tablecontent"/>
            </w:pPr>
            <w:r>
              <w:t>Take reasonable steps to protect from misuse, interference, loss, unauthorised access, modification or disclosure; destroy or de-identify when no longer needed</w:t>
            </w:r>
          </w:p>
        </w:tc>
      </w:tr>
      <w:tr w:rsidR="005776EE" w14:paraId="7824A8D7" w14:textId="77777777" w:rsidTr="000E1801">
        <w:tc>
          <w:tcPr>
            <w:tcW w:w="9026" w:type="dxa"/>
            <w:gridSpan w:val="3"/>
            <w:tcBorders>
              <w:top w:val="single" w:sz="4" w:space="0" w:color="auto"/>
              <w:bottom w:val="single" w:sz="4" w:space="0" w:color="auto"/>
            </w:tcBorders>
            <w:shd w:val="clear" w:color="auto" w:fill="E7E6E6" w:themeFill="background2"/>
            <w:tcMar>
              <w:top w:w="100" w:type="dxa"/>
              <w:left w:w="120" w:type="dxa"/>
              <w:bottom w:w="100" w:type="dxa"/>
              <w:right w:w="120" w:type="dxa"/>
            </w:tcMar>
          </w:tcPr>
          <w:p w14:paraId="3CB49E2B" w14:textId="77777777" w:rsidR="005776EE" w:rsidRDefault="005776EE" w:rsidP="0011154A">
            <w:pPr>
              <w:pStyle w:val="Tablecontent"/>
            </w:pPr>
            <w:r>
              <w:t>ACCESS AND CORRECTION</w:t>
            </w:r>
          </w:p>
        </w:tc>
      </w:tr>
      <w:tr w:rsidR="005776EE" w14:paraId="71CAD9C5" w14:textId="77777777" w:rsidTr="000E1801">
        <w:tc>
          <w:tcPr>
            <w:tcW w:w="1200" w:type="dxa"/>
            <w:tcBorders>
              <w:top w:val="single" w:sz="4" w:space="0" w:color="auto"/>
              <w:bottom w:val="single" w:sz="4" w:space="0" w:color="auto"/>
            </w:tcBorders>
            <w:tcMar>
              <w:top w:w="100" w:type="dxa"/>
              <w:left w:w="120" w:type="dxa"/>
              <w:bottom w:w="100" w:type="dxa"/>
              <w:right w:w="120" w:type="dxa"/>
            </w:tcMar>
          </w:tcPr>
          <w:p w14:paraId="316E47E0" w14:textId="77777777" w:rsidR="005776EE" w:rsidRDefault="005776EE" w:rsidP="0011154A">
            <w:pPr>
              <w:pStyle w:val="Tablecontent"/>
            </w:pPr>
            <w:r>
              <w:t>APP 12</w:t>
            </w:r>
          </w:p>
        </w:tc>
        <w:tc>
          <w:tcPr>
            <w:tcW w:w="2600" w:type="dxa"/>
            <w:tcBorders>
              <w:top w:val="single" w:sz="4" w:space="0" w:color="auto"/>
              <w:bottom w:val="single" w:sz="4" w:space="0" w:color="auto"/>
            </w:tcBorders>
            <w:tcMar>
              <w:top w:w="100" w:type="dxa"/>
              <w:left w:w="120" w:type="dxa"/>
              <w:bottom w:w="100" w:type="dxa"/>
              <w:right w:w="120" w:type="dxa"/>
            </w:tcMar>
          </w:tcPr>
          <w:p w14:paraId="6EC83B4E" w14:textId="77777777" w:rsidR="005776EE" w:rsidRDefault="005776EE" w:rsidP="0011154A">
            <w:pPr>
              <w:pStyle w:val="Tablecontent"/>
            </w:pPr>
            <w:r>
              <w:t>Access to personal information</w:t>
            </w:r>
          </w:p>
        </w:tc>
        <w:tc>
          <w:tcPr>
            <w:tcW w:w="5226" w:type="dxa"/>
            <w:tcBorders>
              <w:top w:val="single" w:sz="4" w:space="0" w:color="auto"/>
              <w:bottom w:val="single" w:sz="4" w:space="0" w:color="auto"/>
            </w:tcBorders>
            <w:tcMar>
              <w:top w:w="100" w:type="dxa"/>
              <w:left w:w="120" w:type="dxa"/>
              <w:bottom w:w="100" w:type="dxa"/>
              <w:right w:w="120" w:type="dxa"/>
            </w:tcMar>
          </w:tcPr>
          <w:p w14:paraId="129824DC" w14:textId="77777777" w:rsidR="005776EE" w:rsidRDefault="005776EE" w:rsidP="0011154A">
            <w:pPr>
              <w:pStyle w:val="Tablecontent"/>
            </w:pPr>
            <w:r>
              <w:t>On request, give individuals access to their personal information unless an exception applies</w:t>
            </w:r>
          </w:p>
        </w:tc>
      </w:tr>
      <w:tr w:rsidR="005776EE" w14:paraId="435190A4" w14:textId="77777777" w:rsidTr="000E1801">
        <w:tc>
          <w:tcPr>
            <w:tcW w:w="1200" w:type="dxa"/>
            <w:tcBorders>
              <w:top w:val="single" w:sz="4" w:space="0" w:color="auto"/>
              <w:bottom w:val="single" w:sz="4" w:space="0" w:color="auto"/>
            </w:tcBorders>
            <w:tcMar>
              <w:top w:w="100" w:type="dxa"/>
              <w:left w:w="120" w:type="dxa"/>
              <w:bottom w:w="100" w:type="dxa"/>
              <w:right w:w="120" w:type="dxa"/>
            </w:tcMar>
          </w:tcPr>
          <w:p w14:paraId="0E115035" w14:textId="77777777" w:rsidR="005776EE" w:rsidRDefault="005776EE" w:rsidP="0011154A">
            <w:pPr>
              <w:pStyle w:val="Tablecontent"/>
            </w:pPr>
            <w:r>
              <w:t>APP 13</w:t>
            </w:r>
          </w:p>
        </w:tc>
        <w:tc>
          <w:tcPr>
            <w:tcW w:w="2600" w:type="dxa"/>
            <w:tcBorders>
              <w:top w:val="single" w:sz="4" w:space="0" w:color="auto"/>
              <w:bottom w:val="single" w:sz="4" w:space="0" w:color="auto"/>
            </w:tcBorders>
            <w:tcMar>
              <w:top w:w="100" w:type="dxa"/>
              <w:left w:w="120" w:type="dxa"/>
              <w:bottom w:w="100" w:type="dxa"/>
              <w:right w:w="120" w:type="dxa"/>
            </w:tcMar>
          </w:tcPr>
          <w:p w14:paraId="493EBB9F" w14:textId="77777777" w:rsidR="005776EE" w:rsidRDefault="005776EE" w:rsidP="0011154A">
            <w:pPr>
              <w:pStyle w:val="Tablecontent"/>
            </w:pPr>
            <w:r>
              <w:t>Correction of personal information</w:t>
            </w:r>
          </w:p>
        </w:tc>
        <w:tc>
          <w:tcPr>
            <w:tcW w:w="5226" w:type="dxa"/>
            <w:tcBorders>
              <w:top w:val="single" w:sz="4" w:space="0" w:color="auto"/>
              <w:bottom w:val="single" w:sz="4" w:space="0" w:color="auto"/>
            </w:tcBorders>
            <w:tcMar>
              <w:top w:w="100" w:type="dxa"/>
              <w:left w:w="120" w:type="dxa"/>
              <w:bottom w:w="100" w:type="dxa"/>
              <w:right w:w="120" w:type="dxa"/>
            </w:tcMar>
          </w:tcPr>
          <w:p w14:paraId="06B0AFB6" w14:textId="77777777" w:rsidR="005776EE" w:rsidRDefault="005776EE" w:rsidP="0011154A">
            <w:pPr>
              <w:pStyle w:val="Tablecontent"/>
            </w:pPr>
            <w:r>
              <w:t>Take reasonable steps to correct personal information to ensure it is accurate, up-to-date, complete, relevant and not misleading</w:t>
            </w:r>
          </w:p>
        </w:tc>
      </w:tr>
    </w:tbl>
    <w:p w14:paraId="66274334" w14:textId="64C0723A" w:rsidR="00BF7857" w:rsidRDefault="00BF7857" w:rsidP="00A30EAA">
      <w:pPr>
        <w:pStyle w:val="NumberedHeading2"/>
      </w:pPr>
      <w:bookmarkStart w:id="144" w:name="_Toc220069909"/>
      <w:bookmarkStart w:id="145" w:name="_Toc220655084"/>
      <w:bookmarkStart w:id="146" w:name="_Toc231895170"/>
      <w:r>
        <w:t>Key Definitions</w:t>
      </w:r>
      <w:bookmarkEnd w:id="144"/>
      <w:bookmarkEnd w:id="145"/>
      <w:bookmarkEnd w:id="146"/>
    </w:p>
    <w:p w14:paraId="0B4A1DFA" w14:textId="77777777" w:rsidR="00BF7857" w:rsidRDefault="00BF7857" w:rsidP="00A30EAA">
      <w:pPr>
        <w:pStyle w:val="Body"/>
      </w:pPr>
      <w:r>
        <w:t>Understanding the APPs requires familiarity with several key definitions:</w:t>
      </w:r>
    </w:p>
    <w:p w14:paraId="356CAB81" w14:textId="77777777" w:rsidR="00BF7857" w:rsidRDefault="00BF7857" w:rsidP="00973158">
      <w:pPr>
        <w:pStyle w:val="Heading3"/>
      </w:pPr>
      <w:bookmarkStart w:id="147" w:name="_Toc220069910"/>
      <w:r>
        <w:t>Personal information</w:t>
      </w:r>
      <w:bookmarkEnd w:id="147"/>
    </w:p>
    <w:p w14:paraId="24FC49BC" w14:textId="4C9F99DB" w:rsidR="00BF7857" w:rsidRDefault="00BF7857" w:rsidP="00A30EAA">
      <w:pPr>
        <w:pStyle w:val="Body"/>
      </w:pPr>
      <w:r>
        <w:t xml:space="preserve">Information or an opinion </w:t>
      </w:r>
      <w:r w:rsidRPr="00317A4B">
        <w:t>about</w:t>
      </w:r>
      <w:r>
        <w:t xml:space="preserve"> an identified individual, or an individual who is reasonably identifiable, whether the information or opinion is true or not, and whether recorded in a material form or not. This is a broad definition </w:t>
      </w:r>
      <w:r w:rsidR="00A30EAA">
        <w:t xml:space="preserve">, </w:t>
      </w:r>
      <w:r>
        <w:t>it includes not just obvious identifiers (name, address) but any information that could be used to identify someone.</w:t>
      </w:r>
    </w:p>
    <w:p w14:paraId="7DA56AEA" w14:textId="77777777" w:rsidR="00BF7857" w:rsidRDefault="00BF7857" w:rsidP="00973158">
      <w:pPr>
        <w:pStyle w:val="Heading3"/>
      </w:pPr>
      <w:bookmarkStart w:id="148" w:name="_Toc220069911"/>
      <w:r>
        <w:t>Sensitive information</w:t>
      </w:r>
      <w:bookmarkEnd w:id="148"/>
    </w:p>
    <w:p w14:paraId="4E0386FF" w14:textId="77777777" w:rsidR="00BF7857" w:rsidRDefault="00BF7857" w:rsidP="00A30EAA">
      <w:pPr>
        <w:pStyle w:val="Body"/>
      </w:pPr>
      <w:r>
        <w:t>A subset of personal information that attracts additional protections. Sensitive information includes information about racial or ethnic origin, political opinions, membership of political associations, religious beliefs, philosophical beliefs, membership of professional or trade associations, membership of trade unions, sexual orientation or practices, criminal record, health information, genetic information, biometric information, and biometric templates.</w:t>
      </w:r>
    </w:p>
    <w:p w14:paraId="785EC55E" w14:textId="77777777" w:rsidR="00BF7857" w:rsidRDefault="00BF7857" w:rsidP="00973158">
      <w:pPr>
        <w:pStyle w:val="Heading3"/>
      </w:pPr>
      <w:bookmarkStart w:id="149" w:name="_Toc220069912"/>
      <w:r>
        <w:lastRenderedPageBreak/>
        <w:t>Collection</w:t>
      </w:r>
      <w:bookmarkEnd w:id="149"/>
    </w:p>
    <w:p w14:paraId="66C69418" w14:textId="77777777" w:rsidR="00BF7857" w:rsidRDefault="00BF7857" w:rsidP="00A30EAA">
      <w:pPr>
        <w:pStyle w:val="Body"/>
      </w:pPr>
      <w:r>
        <w:t>The gathering, acquiring, or obtaining of personal information from any source and by any means. This includes information provided directly by individuals, information obtained from third parties, and information generated through observation or monitoring.</w:t>
      </w:r>
    </w:p>
    <w:p w14:paraId="6B2C3AC0" w14:textId="77777777" w:rsidR="00BF7857" w:rsidRDefault="00BF7857" w:rsidP="00973158">
      <w:pPr>
        <w:pStyle w:val="Heading3"/>
      </w:pPr>
      <w:bookmarkStart w:id="150" w:name="_Toc220069913"/>
      <w:r>
        <w:t>Use</w:t>
      </w:r>
      <w:bookmarkEnd w:id="150"/>
    </w:p>
    <w:p w14:paraId="1AD6D662" w14:textId="77777777" w:rsidR="00BF7857" w:rsidRDefault="00BF7857" w:rsidP="00A30EAA">
      <w:pPr>
        <w:pStyle w:val="Body"/>
      </w:pPr>
      <w:r>
        <w:t>The handling of personal information within the entity. This includes accessing, reading, analysing, referencing, or otherwise doing something with personal information within the organisation.</w:t>
      </w:r>
    </w:p>
    <w:p w14:paraId="3EEB202E" w14:textId="77777777" w:rsidR="00BF7857" w:rsidRDefault="00BF7857" w:rsidP="00973158">
      <w:pPr>
        <w:pStyle w:val="Heading3"/>
      </w:pPr>
      <w:bookmarkStart w:id="151" w:name="_Toc220069914"/>
      <w:r>
        <w:t>Disclosure</w:t>
      </w:r>
      <w:bookmarkEnd w:id="151"/>
    </w:p>
    <w:p w14:paraId="5D3E4F7D" w14:textId="77777777" w:rsidR="00BF7857" w:rsidRDefault="00BF7857" w:rsidP="00A30EAA">
      <w:pPr>
        <w:pStyle w:val="Body"/>
      </w:pPr>
      <w:r>
        <w:t>Making personal information accessible to others outside the entity or releasing it from the entity's effective control. Disclosure to courts, opposing parties, and regulators are all disclosures for privacy purposes.</w:t>
      </w:r>
    </w:p>
    <w:p w14:paraId="05EA7E51" w14:textId="5316B5F9" w:rsidR="005776EE" w:rsidRPr="008547F6" w:rsidRDefault="005776EE" w:rsidP="00A30EAA">
      <w:pPr>
        <w:pStyle w:val="NumberedHeading2"/>
      </w:pPr>
      <w:bookmarkStart w:id="152" w:name="_Toc220069908"/>
      <w:bookmarkStart w:id="153" w:name="_Toc220655085"/>
      <w:bookmarkStart w:id="154" w:name="_Toc231895171"/>
      <w:r w:rsidRPr="008547F6">
        <w:t>The 'Reasonable Steps' Standard</w:t>
      </w:r>
      <w:bookmarkEnd w:id="152"/>
      <w:bookmarkEnd w:id="153"/>
      <w:bookmarkEnd w:id="154"/>
    </w:p>
    <w:p w14:paraId="6A66ACB7" w14:textId="63F1AFA8" w:rsidR="005776EE" w:rsidRDefault="005776EE" w:rsidP="00A30EAA">
      <w:pPr>
        <w:pStyle w:val="Body"/>
      </w:pPr>
      <w:r>
        <w:t>Many APP obligations are expressed in terms of taking 'reasonable steps'.</w:t>
      </w:r>
      <w:r>
        <w:rPr>
          <w:rStyle w:val="FootnoteReference"/>
        </w:rPr>
        <w:footnoteReference w:id="75"/>
      </w:r>
      <w:r w:rsidR="00560F6B">
        <w:t xml:space="preserve"> </w:t>
      </w:r>
      <w:r>
        <w:t>What constitutes 'reasonable steps' is not fixed</w:t>
      </w:r>
      <w:r w:rsidR="00A30EAA">
        <w:t xml:space="preserve">, </w:t>
      </w:r>
      <w:r>
        <w:t>it depends on the circumstances. Factors that may be relevant include:</w:t>
      </w:r>
    </w:p>
    <w:p w14:paraId="7FFCDAAB" w14:textId="1F687133" w:rsidR="005776EE" w:rsidRPr="00E2448F" w:rsidRDefault="005776EE" w:rsidP="00A30EAA">
      <w:pPr>
        <w:pStyle w:val="ListParagraph"/>
      </w:pPr>
      <w:r w:rsidRPr="00E2448F">
        <w:t>the amount and sensitivity of the personal information held;</w:t>
      </w:r>
    </w:p>
    <w:p w14:paraId="225DCB6F" w14:textId="5A458D07" w:rsidR="005776EE" w:rsidRPr="00E2448F" w:rsidRDefault="005776EE" w:rsidP="00A30EAA">
      <w:pPr>
        <w:pStyle w:val="ListParagraph"/>
      </w:pPr>
      <w:r w:rsidRPr="00E2448F">
        <w:t>the possible adverse consequences for individuals if the information is mishandled;</w:t>
      </w:r>
    </w:p>
    <w:p w14:paraId="035217CD" w14:textId="33B4F99D" w:rsidR="005776EE" w:rsidRPr="00E2448F" w:rsidRDefault="005776EE" w:rsidP="00A30EAA">
      <w:pPr>
        <w:pStyle w:val="ListParagraph"/>
      </w:pPr>
      <w:r w:rsidRPr="00E2448F">
        <w:t>the nature and size of the entity;</w:t>
      </w:r>
    </w:p>
    <w:p w14:paraId="7F67C8F8" w14:textId="38E0AE3E" w:rsidR="005776EE" w:rsidRPr="00E2448F" w:rsidRDefault="005776EE" w:rsidP="00A30EAA">
      <w:pPr>
        <w:pStyle w:val="ListParagraph"/>
      </w:pPr>
      <w:r w:rsidRPr="00E2448F">
        <w:t>the practicability of implementing the step, including time and cost;</w:t>
      </w:r>
    </w:p>
    <w:p w14:paraId="4B95C676" w14:textId="5705EBA9" w:rsidR="005776EE" w:rsidRPr="00E2448F" w:rsidRDefault="005776EE" w:rsidP="00A30EAA">
      <w:pPr>
        <w:pStyle w:val="ListParagraph"/>
      </w:pPr>
      <w:r w:rsidRPr="00E2448F">
        <w:t>the availability and effectiveness of the step.</w:t>
      </w:r>
    </w:p>
    <w:p w14:paraId="6FBAD771" w14:textId="77777777" w:rsidR="007D1438" w:rsidRDefault="00B869C9" w:rsidP="00A30EAA">
      <w:pPr>
        <w:pStyle w:val="Body"/>
      </w:pPr>
      <w:r>
        <w:t>T</w:t>
      </w:r>
      <w:r w:rsidR="005776EE">
        <w:t xml:space="preserve">he </w:t>
      </w:r>
      <w:r w:rsidR="005776EE" w:rsidRPr="00973158">
        <w:t>sensitivity</w:t>
      </w:r>
      <w:r w:rsidR="005776EE">
        <w:t xml:space="preserve"> of legal information — </w:t>
      </w:r>
      <w:r w:rsidR="007D1438">
        <w:t>some of it literally life and death</w:t>
      </w:r>
      <w:r w:rsidR="005776EE">
        <w:t xml:space="preserve"> — </w:t>
      </w:r>
      <w:r>
        <w:t>means that</w:t>
      </w:r>
      <w:r w:rsidR="007A60B3">
        <w:t xml:space="preserve"> a high degree of care and protection is warranted</w:t>
      </w:r>
      <w:r w:rsidR="005776EE">
        <w:t xml:space="preserve">. </w:t>
      </w:r>
    </w:p>
    <w:p w14:paraId="4BEB6AB8" w14:textId="03DDD180" w:rsidR="005776EE" w:rsidRDefault="005776EE" w:rsidP="00A30EAA">
      <w:pPr>
        <w:pStyle w:val="Body"/>
      </w:pPr>
      <w:r>
        <w:t xml:space="preserve">A small law firm is not expected to implement the same technical security measures as a large </w:t>
      </w:r>
      <w:r w:rsidR="00BA6CCE">
        <w:t>one</w:t>
      </w:r>
      <w:r>
        <w:t>, but it is expected to take steps proportionate to the risks posed by its information holdings.</w:t>
      </w:r>
    </w:p>
    <w:p w14:paraId="4F8A8AFE" w14:textId="7ED45AB7" w:rsidR="004D4CBF" w:rsidRDefault="00973158" w:rsidP="00A30EAA">
      <w:pPr>
        <w:pStyle w:val="Body"/>
      </w:pPr>
      <w:r>
        <w:t xml:space="preserve">The same </w:t>
      </w:r>
      <w:r w:rsidR="00496C6E">
        <w:t xml:space="preserve">approach applies to determining what is reasonable from the perspective of confidentiality obligations. </w:t>
      </w:r>
      <w:r w:rsidR="00CE6B42">
        <w:t xml:space="preserve">Even a small firm is expected to think about consequences of </w:t>
      </w:r>
      <w:r w:rsidR="00A24D92">
        <w:t>information it holds being lost and taking especial care with highly sensitive material.</w:t>
      </w:r>
      <w:r w:rsidR="00B00E78">
        <w:t xml:space="preserve"> </w:t>
      </w:r>
    </w:p>
    <w:tbl>
      <w:tblPr>
        <w:tblW w:w="5000" w:type="pct"/>
        <w:tblCellMar>
          <w:left w:w="10" w:type="dxa"/>
          <w:right w:w="10" w:type="dxa"/>
        </w:tblCellMar>
        <w:tblLook w:val="04A0" w:firstRow="1" w:lastRow="0" w:firstColumn="1" w:lastColumn="0" w:noHBand="0" w:noVBand="1"/>
      </w:tblPr>
      <w:tblGrid>
        <w:gridCol w:w="9026"/>
      </w:tblGrid>
      <w:tr w:rsidR="005776EE" w14:paraId="61559735" w14:textId="77777777" w:rsidTr="0011154A">
        <w:tc>
          <w:tcPr>
            <w:tcW w:w="9026" w:type="dxa"/>
            <w:shd w:val="clear" w:color="auto" w:fill="E7F3FE"/>
            <w:tcMar>
              <w:top w:w="160" w:type="dxa"/>
              <w:left w:w="200" w:type="dxa"/>
              <w:bottom w:w="160" w:type="dxa"/>
              <w:right w:w="200" w:type="dxa"/>
            </w:tcMar>
          </w:tcPr>
          <w:p w14:paraId="2169E41F" w14:textId="77777777" w:rsidR="005776EE" w:rsidRPr="0011154A" w:rsidRDefault="005776EE" w:rsidP="00973158">
            <w:pPr>
              <w:rPr>
                <w:rStyle w:val="Strong"/>
              </w:rPr>
            </w:pPr>
            <w:r w:rsidRPr="0011154A">
              <w:rPr>
                <w:rStyle w:val="Strong"/>
              </w:rPr>
              <w:t>Practical Application: 'Reasonable Steps' for Small Law Firms</w:t>
            </w:r>
          </w:p>
          <w:p w14:paraId="7661337A" w14:textId="77777777" w:rsidR="005776EE" w:rsidRDefault="005776EE" w:rsidP="00A30EAA">
            <w:pPr>
              <w:pStyle w:val="Body"/>
            </w:pPr>
            <w:r>
              <w:t>For a small law firm handling sensitive client information including identity documents and financial details:</w:t>
            </w:r>
          </w:p>
          <w:p w14:paraId="0A00D4B2" w14:textId="3B830C91" w:rsidR="005776EE" w:rsidRDefault="005776EE" w:rsidP="00A30EAA">
            <w:pPr>
              <w:pStyle w:val="ListParagraph"/>
            </w:pPr>
            <w:r>
              <w:t xml:space="preserve">Reasonable security steps (APP 11) might include: strong passwords, multi-factor authentication, </w:t>
            </w:r>
            <w:r w:rsidR="00EC3BA7">
              <w:t>adding extra encryption for</w:t>
            </w:r>
            <w:r>
              <w:t xml:space="preserve"> sensitive documents</w:t>
            </w:r>
            <w:r w:rsidR="00EC3BA7">
              <w:t xml:space="preserve"> (medical reports, negotiations in criminal matters for example)</w:t>
            </w:r>
            <w:r>
              <w:t>, secure physical storage, and staff training on security practices.</w:t>
            </w:r>
            <w:r w:rsidR="00394058">
              <w:rPr>
                <w:rStyle w:val="FootnoteReference"/>
              </w:rPr>
              <w:footnoteReference w:id="76"/>
            </w:r>
          </w:p>
          <w:p w14:paraId="5CEC706D" w14:textId="2BFD9D2A" w:rsidR="005776EE" w:rsidRDefault="005776EE" w:rsidP="00A30EAA">
            <w:pPr>
              <w:pStyle w:val="ListParagraph"/>
            </w:pPr>
            <w:r>
              <w:t xml:space="preserve">Reasonable </w:t>
            </w:r>
            <w:r w:rsidR="007A0914">
              <w:t>collection</w:t>
            </w:r>
            <w:r>
              <w:t xml:space="preserve"> steps (APP </w:t>
            </w:r>
            <w:r w:rsidR="00401E68">
              <w:t>3</w:t>
            </w:r>
            <w:r>
              <w:t xml:space="preserve">) might include: </w:t>
            </w:r>
            <w:r w:rsidR="007A0914">
              <w:t xml:space="preserve">ensuring that only </w:t>
            </w:r>
            <w:r w:rsidR="00066042">
              <w:t xml:space="preserve">essential ID records are collected </w:t>
            </w:r>
            <w:r w:rsidR="00BE3331">
              <w:t xml:space="preserve">and if </w:t>
            </w:r>
            <w:r w:rsidR="00066042">
              <w:t xml:space="preserve">stored long term, that clients and third parties </w:t>
            </w:r>
            <w:r w:rsidR="00BE3331">
              <w:t>know what is being collected and why</w:t>
            </w:r>
            <w:r>
              <w:t>.</w:t>
            </w:r>
          </w:p>
          <w:p w14:paraId="5AA9098B" w14:textId="25078171" w:rsidR="005776EE" w:rsidRDefault="005776EE" w:rsidP="00A30EAA">
            <w:pPr>
              <w:pStyle w:val="ListParagraph"/>
            </w:pPr>
            <w:r>
              <w:t>The steps do not need to be perfect, but they do need to be genuine and proportionate to the risk.</w:t>
            </w:r>
          </w:p>
          <w:p w14:paraId="14853DDB" w14:textId="77777777" w:rsidR="0011154A" w:rsidRDefault="0011154A" w:rsidP="00A30EAA">
            <w:pPr>
              <w:pStyle w:val="Body"/>
            </w:pPr>
          </w:p>
          <w:p w14:paraId="75A1F58A" w14:textId="47C610F4" w:rsidR="00F21F0E" w:rsidRPr="00317A4B" w:rsidRDefault="00F21F0E" w:rsidP="00A30EAA">
            <w:pPr>
              <w:pStyle w:val="Body"/>
            </w:pPr>
            <w:r w:rsidRPr="00317A4B">
              <w:lastRenderedPageBreak/>
              <w:t xml:space="preserve">A recognized cybersecurity standard such as SMB-1001 (small firm) or ISO-27001 (big firm) </w:t>
            </w:r>
            <w:r w:rsidR="008C4658" w:rsidRPr="00317A4B">
              <w:t>can assist in demonstrating that reasonable steps were taken to protect client information.</w:t>
            </w:r>
          </w:p>
        </w:tc>
      </w:tr>
    </w:tbl>
    <w:p w14:paraId="14E0C8B6" w14:textId="77777777" w:rsidR="005776EE" w:rsidRDefault="005776EE" w:rsidP="00973158">
      <w:r>
        <w:br w:type="page"/>
      </w:r>
    </w:p>
    <w:p w14:paraId="0E80B321" w14:textId="02FD9D96" w:rsidR="005776EE" w:rsidRDefault="005776EE" w:rsidP="00A82687">
      <w:pPr>
        <w:pStyle w:val="NumberedHeading1"/>
      </w:pPr>
      <w:bookmarkStart w:id="155" w:name="_Toc220069916"/>
      <w:bookmarkStart w:id="156" w:name="_Toc220655087"/>
      <w:bookmarkStart w:id="157" w:name="_Ref227319975"/>
      <w:bookmarkStart w:id="158" w:name="_Toc231895172"/>
      <w:r>
        <w:lastRenderedPageBreak/>
        <w:t>APPs Most Relevant to Law Firms</w:t>
      </w:r>
      <w:bookmarkEnd w:id="155"/>
      <w:bookmarkEnd w:id="156"/>
      <w:bookmarkEnd w:id="157"/>
      <w:bookmarkEnd w:id="158"/>
    </w:p>
    <w:p w14:paraId="7A64B7A0" w14:textId="77777777" w:rsidR="005776EE" w:rsidRDefault="005776EE" w:rsidP="00A30EAA">
      <w:pPr>
        <w:pStyle w:val="Body"/>
      </w:pPr>
      <w:r>
        <w:t>While all 13 APPs apply to law firms that are APP entities, some are more significant in day-to-day practice than others. This chapter provides detailed guidance on the APPs that most directly affect how law firms operate.</w:t>
      </w:r>
    </w:p>
    <w:p w14:paraId="04E56FA3" w14:textId="3E6DCA6F" w:rsidR="005776EE" w:rsidRDefault="005776EE" w:rsidP="00A30EAA">
      <w:pPr>
        <w:pStyle w:val="NumberedHeading2"/>
      </w:pPr>
      <w:bookmarkStart w:id="159" w:name="_Toc220069917"/>
      <w:bookmarkStart w:id="160" w:name="_Toc220655088"/>
      <w:bookmarkStart w:id="161" w:name="_Toc231895173"/>
      <w:r>
        <w:t>APP 1</w:t>
      </w:r>
      <w:r w:rsidR="00A30EAA">
        <w:t>:</w:t>
      </w:r>
      <w:r>
        <w:t xml:space="preserve"> Open and Transparent Management</w:t>
      </w:r>
      <w:bookmarkEnd w:id="159"/>
      <w:bookmarkEnd w:id="160"/>
      <w:bookmarkEnd w:id="161"/>
    </w:p>
    <w:p w14:paraId="70F87317" w14:textId="77777777" w:rsidR="005776EE" w:rsidRDefault="005776EE" w:rsidP="00A30EAA">
      <w:pPr>
        <w:pStyle w:val="Body"/>
      </w:pPr>
      <w:r>
        <w:t>APP 1 is the foundation principle. It requires entities to take reasonable steps to implement practices, procedures and systems that ensure compliance with the APPs and enable the entity to deal with inquiries or complaints.</w:t>
      </w:r>
      <w:r>
        <w:rPr>
          <w:rStyle w:val="FootnoteReference"/>
        </w:rPr>
        <w:footnoteReference w:id="77"/>
      </w:r>
    </w:p>
    <w:p w14:paraId="06642003" w14:textId="77777777" w:rsidR="005776EE" w:rsidRDefault="005776EE" w:rsidP="00973158">
      <w:pPr>
        <w:pStyle w:val="Heading3"/>
      </w:pPr>
      <w:bookmarkStart w:id="162" w:name="_Toc220069918"/>
      <w:r>
        <w:t>The privacy policy requirement</w:t>
      </w:r>
      <w:bookmarkEnd w:id="162"/>
    </w:p>
    <w:p w14:paraId="4A2CC0DF" w14:textId="1C926DED" w:rsidR="005776EE" w:rsidRDefault="005776EE" w:rsidP="00A30EAA">
      <w:pPr>
        <w:pStyle w:val="Body"/>
      </w:pPr>
      <w:r>
        <w:t>APP 1.3 requires a clearly expressed and up-to-date policy about the entity's management of personal information.</w:t>
      </w:r>
      <w:r>
        <w:rPr>
          <w:rStyle w:val="FootnoteReference"/>
        </w:rPr>
        <w:footnoteReference w:id="78"/>
      </w:r>
      <w:r>
        <w:t xml:space="preserve"> This policy must be available free of charge and in an appropriate form </w:t>
      </w:r>
      <w:r w:rsidR="00A30EAA">
        <w:t xml:space="preserve">, </w:t>
      </w:r>
      <w:r>
        <w:t>typically on the firm's website.</w:t>
      </w:r>
    </w:p>
    <w:p w14:paraId="31F0042D" w14:textId="77777777" w:rsidR="005776EE" w:rsidRDefault="005776EE" w:rsidP="00A30EAA">
      <w:pPr>
        <w:pStyle w:val="Body"/>
      </w:pPr>
      <w:r>
        <w:t>APP 1.4 specifies that the policy must contain information about:</w:t>
      </w:r>
      <w:r>
        <w:rPr>
          <w:rStyle w:val="FootnoteReference"/>
        </w:rPr>
        <w:footnoteReference w:id="79"/>
      </w:r>
    </w:p>
    <w:p w14:paraId="5FDD1208" w14:textId="2E8C64A4" w:rsidR="005776EE" w:rsidRDefault="005776EE" w:rsidP="00A30EAA">
      <w:pPr>
        <w:pStyle w:val="ListParagraph"/>
      </w:pPr>
      <w:r>
        <w:t>the kinds of personal information collected and held;</w:t>
      </w:r>
    </w:p>
    <w:p w14:paraId="3F099506" w14:textId="7334BF87" w:rsidR="005776EE" w:rsidRDefault="005776EE" w:rsidP="00A30EAA">
      <w:pPr>
        <w:pStyle w:val="ListParagraph"/>
      </w:pPr>
      <w:r>
        <w:t>how personal information is collected and held;</w:t>
      </w:r>
    </w:p>
    <w:p w14:paraId="6DA6D208" w14:textId="04C97AD9" w:rsidR="005776EE" w:rsidRDefault="005776EE" w:rsidP="00A30EAA">
      <w:pPr>
        <w:pStyle w:val="ListParagraph"/>
      </w:pPr>
      <w:r>
        <w:t>the purposes for which personal information is collected, held, used and disclosed;</w:t>
      </w:r>
    </w:p>
    <w:p w14:paraId="33D4685B" w14:textId="19AE0E6F" w:rsidR="005776EE" w:rsidRDefault="005776EE" w:rsidP="00A30EAA">
      <w:pPr>
        <w:pStyle w:val="ListParagraph"/>
      </w:pPr>
      <w:r>
        <w:t>how an individual may access their personal information and seek correction;</w:t>
      </w:r>
    </w:p>
    <w:p w14:paraId="76B430D0" w14:textId="4A7A80FA" w:rsidR="005776EE" w:rsidRDefault="005776EE" w:rsidP="00A30EAA">
      <w:pPr>
        <w:pStyle w:val="ListParagraph"/>
      </w:pPr>
      <w:r>
        <w:t>how an individual may complain about a breach of the APPs and how the entity will deal with such a complaint; and</w:t>
      </w:r>
    </w:p>
    <w:p w14:paraId="79C19FE2" w14:textId="080D2826" w:rsidR="005776EE" w:rsidRDefault="005776EE" w:rsidP="00A30EAA">
      <w:pPr>
        <w:pStyle w:val="ListParagraph"/>
      </w:pPr>
      <w:r>
        <w:t>whether the entity is likely to disclose personal information to overseas recipients, and if so, the countries where they are located.</w:t>
      </w:r>
    </w:p>
    <w:p w14:paraId="141F98EA" w14:textId="77777777" w:rsidR="005776EE" w:rsidRDefault="005776EE" w:rsidP="00A30EAA">
      <w:pPr>
        <w:pStyle w:val="Body"/>
      </w:pPr>
      <w:r>
        <w:t>From 10 December 2026, APP 1.4 will also require disclosure of any substantially automated decisions using personal information that significantly affect individuals' rights or interests.</w:t>
      </w:r>
      <w:r>
        <w:rPr>
          <w:rStyle w:val="FootnoteReference"/>
        </w:rPr>
        <w:footnoteReference w:id="80"/>
      </w:r>
    </w:p>
    <w:p w14:paraId="1B3A0D92" w14:textId="394D9ED3" w:rsidR="005776EE" w:rsidRDefault="005776EE" w:rsidP="00A30EAA">
      <w:pPr>
        <w:pStyle w:val="Body"/>
      </w:pPr>
      <w:r>
        <w:t xml:space="preserve">The Privacy Policy Template (Document 01) provides a template that </w:t>
      </w:r>
      <w:r w:rsidR="001C6E04">
        <w:t>addresses mandatory elements and some issues most relevant to law firms</w:t>
      </w:r>
      <w:r>
        <w:t>.</w:t>
      </w:r>
    </w:p>
    <w:p w14:paraId="1D27553C" w14:textId="624742D7" w:rsidR="005776EE" w:rsidRDefault="005776EE" w:rsidP="00A30EAA">
      <w:pPr>
        <w:pStyle w:val="NumberedHeading2"/>
      </w:pPr>
      <w:bookmarkStart w:id="163" w:name="_Toc220069919"/>
      <w:bookmarkStart w:id="164" w:name="_Toc220655089"/>
      <w:bookmarkStart w:id="165" w:name="_Toc231895174"/>
      <w:r>
        <w:t>APP 3</w:t>
      </w:r>
      <w:r w:rsidR="00A30EAA">
        <w:t xml:space="preserve">: </w:t>
      </w:r>
      <w:r>
        <w:t xml:space="preserve">Collection of </w:t>
      </w:r>
      <w:r w:rsidR="00924849">
        <w:t>“</w:t>
      </w:r>
      <w:r>
        <w:t>Solicited Personal Information</w:t>
      </w:r>
      <w:bookmarkEnd w:id="163"/>
      <w:bookmarkEnd w:id="164"/>
      <w:r w:rsidR="00924849">
        <w:t>”</w:t>
      </w:r>
      <w:bookmarkEnd w:id="165"/>
    </w:p>
    <w:p w14:paraId="08FDA54F" w14:textId="77777777" w:rsidR="005776EE" w:rsidRDefault="005776EE" w:rsidP="00A30EAA">
      <w:pPr>
        <w:pStyle w:val="Body"/>
      </w:pPr>
      <w:r>
        <w:t>APP 3 governs what personal information may be collected. The core principle is that collection must be limited to what is 'reasonably necessary' for the entity's functions or activities.</w:t>
      </w:r>
      <w:r>
        <w:rPr>
          <w:rStyle w:val="FootnoteReference"/>
        </w:rPr>
        <w:footnoteReference w:id="81"/>
      </w:r>
    </w:p>
    <w:p w14:paraId="64993735" w14:textId="77777777" w:rsidR="001F3BAF" w:rsidRDefault="001F3BAF">
      <w:pPr>
        <w:spacing w:after="0"/>
        <w:rPr>
          <w:b/>
          <w:iCs/>
          <w:color w:val="0F2D52"/>
          <w:sz w:val="24"/>
          <w:szCs w:val="24"/>
        </w:rPr>
      </w:pPr>
      <w:bookmarkStart w:id="166" w:name="_Toc220069920"/>
      <w:r>
        <w:br w:type="page"/>
      </w:r>
    </w:p>
    <w:p w14:paraId="05BB7842" w14:textId="1C43802E" w:rsidR="005776EE" w:rsidRDefault="005776EE" w:rsidP="00973158">
      <w:pPr>
        <w:pStyle w:val="Heading3"/>
      </w:pPr>
      <w:r>
        <w:lastRenderedPageBreak/>
        <w:t>Collection must be 'reasonably necessary'</w:t>
      </w:r>
      <w:bookmarkEnd w:id="166"/>
    </w:p>
    <w:p w14:paraId="2F03FE59" w14:textId="77777777" w:rsidR="002A0191" w:rsidRDefault="005776EE" w:rsidP="00A30EAA">
      <w:pPr>
        <w:pStyle w:val="Body"/>
      </w:pPr>
      <w:r>
        <w:t xml:space="preserve">Personal information </w:t>
      </w:r>
      <w:r w:rsidR="00A72414">
        <w:t xml:space="preserve">(and by extension, sensitive information) </w:t>
      </w:r>
      <w:r>
        <w:t>may only be collected if it is reasonably necessary for one or more of the entity's functions or activities.</w:t>
      </w:r>
      <w:r>
        <w:rPr>
          <w:rStyle w:val="FootnoteReference"/>
        </w:rPr>
        <w:footnoteReference w:id="82"/>
      </w:r>
      <w:r>
        <w:t xml:space="preserve"> For law firms, 'functions or activities' include providing legal services, complying with legal</w:t>
      </w:r>
      <w:r w:rsidR="00D027D6">
        <w:t xml:space="preserve">, </w:t>
      </w:r>
      <w:r>
        <w:t xml:space="preserve">regulatory </w:t>
      </w:r>
      <w:r w:rsidR="00D027D6">
        <w:t xml:space="preserve">and insurance </w:t>
      </w:r>
      <w:r>
        <w:t>obligations (including AML/CTF requirements), managing client relationships, and running the business.</w:t>
      </w:r>
      <w:r w:rsidR="00F50254">
        <w:t xml:space="preserve"> However, just because information might be useful for one of those functions does not necessarily mean that it</w:t>
      </w:r>
      <w:r w:rsidR="002A0191">
        <w:t xml:space="preserve"> should automatically be collected</w:t>
      </w:r>
      <w:r w:rsidR="00F50254">
        <w:t xml:space="preserve">. </w:t>
      </w:r>
    </w:p>
    <w:p w14:paraId="04012411" w14:textId="5E5EF83B" w:rsidR="005776EE" w:rsidRDefault="00F50254" w:rsidP="00A30EAA">
      <w:pPr>
        <w:pStyle w:val="Body"/>
      </w:pPr>
      <w:r>
        <w:t>The test is not “</w:t>
      </w:r>
      <w:r w:rsidR="00303EF6">
        <w:t>absolutely essential</w:t>
      </w:r>
      <w:r>
        <w:t>” or “possibly relevant”, it is</w:t>
      </w:r>
      <w:r w:rsidR="00303EF6">
        <w:t xml:space="preserve"> a </w:t>
      </w:r>
      <w:proofErr w:type="spellStart"/>
      <w:r w:rsidR="00303EF6">
        <w:t>mid point</w:t>
      </w:r>
      <w:proofErr w:type="spellEnd"/>
      <w:r w:rsidR="00303EF6">
        <w:t>:</w:t>
      </w:r>
      <w:r>
        <w:t xml:space="preserve"> “reasonably </w:t>
      </w:r>
      <w:r w:rsidRPr="00F50254">
        <w:rPr>
          <w:b/>
          <w:bCs/>
        </w:rPr>
        <w:t>necessary</w:t>
      </w:r>
      <w:r>
        <w:t xml:space="preserve">”. Drawing that line is not </w:t>
      </w:r>
      <w:r w:rsidR="00303EF6">
        <w:t xml:space="preserve">always </w:t>
      </w:r>
      <w:r>
        <w:t>easy</w:t>
      </w:r>
      <w:r w:rsidR="003412CE">
        <w:t>, especially when the ultimate direction and scope of a matter might not be apparent from the outset.</w:t>
      </w:r>
    </w:p>
    <w:p w14:paraId="23DC7844" w14:textId="1E76892C" w:rsidR="00F90A66" w:rsidRDefault="002A0191" w:rsidP="00A30EAA">
      <w:pPr>
        <w:pStyle w:val="Body"/>
      </w:pPr>
      <w:r>
        <w:t xml:space="preserve">There is no fixed list of required information in every circumstance. What is expected is that you turn your mind to </w:t>
      </w:r>
      <w:r w:rsidR="00E16282">
        <w:t>the issue</w:t>
      </w:r>
      <w:r>
        <w:t xml:space="preserve"> and can provide a defensible rationale</w:t>
      </w:r>
      <w:r w:rsidR="00CB5BB4">
        <w:t>. In practical terms this means that</w:t>
      </w:r>
      <w:r w:rsidR="005776EE">
        <w:t xml:space="preserve"> firms should </w:t>
      </w:r>
      <w:r w:rsidR="00505FAD">
        <w:t xml:space="preserve">review types of matters they do regularly and </w:t>
      </w:r>
      <w:r w:rsidR="00CB5BB4">
        <w:t>only collect information</w:t>
      </w:r>
      <w:r w:rsidR="005776EE">
        <w:t xml:space="preserve"> that is genuinely needed. </w:t>
      </w:r>
      <w:r w:rsidR="00B715FF">
        <w:t xml:space="preserve">This will mean reviewing and maintaining your intake form checklists </w:t>
      </w:r>
      <w:r w:rsidR="00214F07">
        <w:t>to ensure that information collected is really needed.</w:t>
      </w:r>
    </w:p>
    <w:p w14:paraId="3AD15A78" w14:textId="0DFFA7FE" w:rsidR="005776EE" w:rsidRDefault="00810AC0" w:rsidP="00A30EAA">
      <w:pPr>
        <w:pStyle w:val="Body"/>
      </w:pPr>
      <w:r>
        <w:t xml:space="preserve">Sometimes, this kind of risk analysis might </w:t>
      </w:r>
      <w:r w:rsidRPr="00CB5BB4">
        <w:rPr>
          <w:i/>
          <w:iCs/>
        </w:rPr>
        <w:t>increase</w:t>
      </w:r>
      <w:r>
        <w:t xml:space="preserve"> the scope of information collected. It would be a good idea to keep a record of </w:t>
      </w:r>
      <w:r w:rsidR="00F04E1E">
        <w:t>the guidance which formed the basis of your policy. For example, if a Lexon risk checklist</w:t>
      </w:r>
      <w:r w:rsidR="00932743">
        <w:t xml:space="preserve"> or Practice Direction</w:t>
      </w:r>
      <w:r w:rsidR="00F04E1E">
        <w:t xml:space="preserve"> require</w:t>
      </w:r>
      <w:r w:rsidR="00932743">
        <w:t>s</w:t>
      </w:r>
      <w:r w:rsidR="00F04E1E">
        <w:t xml:space="preserve"> that certain issues be investigated that should be noted. </w:t>
      </w:r>
      <w:r w:rsidR="00932743">
        <w:t>It will save a lot of time later if a regulator asks you to justify why certain records were collected or held.</w:t>
      </w:r>
    </w:p>
    <w:p w14:paraId="51D9C9BD" w14:textId="2505C46B" w:rsidR="00F90A66" w:rsidRDefault="00F90A66" w:rsidP="00A30EAA">
      <w:pPr>
        <w:pStyle w:val="Body"/>
      </w:pPr>
      <w:r>
        <w:t>Again, only AML related information is regulated</w:t>
      </w:r>
      <w:r w:rsidR="004842DF">
        <w:t xml:space="preserve"> for small businesses</w:t>
      </w:r>
      <w:r>
        <w:t>. Despite that, it is a good idea to turn a sceptical lens on all information collection and retention due to the risk and cost that goes with holding other people’s data.</w:t>
      </w:r>
    </w:p>
    <w:p w14:paraId="0C889393" w14:textId="77777777" w:rsidR="005776EE" w:rsidRDefault="005776EE" w:rsidP="00973158">
      <w:pPr>
        <w:pStyle w:val="Heading3"/>
      </w:pPr>
      <w:bookmarkStart w:id="167" w:name="_Toc220069921"/>
      <w:r>
        <w:t>Sensitive information: higher threshold</w:t>
      </w:r>
      <w:bookmarkEnd w:id="167"/>
    </w:p>
    <w:p w14:paraId="6E922A0B" w14:textId="77777777" w:rsidR="005776EE" w:rsidRDefault="005776EE" w:rsidP="00A30EAA">
      <w:pPr>
        <w:pStyle w:val="Body"/>
      </w:pPr>
      <w:r>
        <w:t xml:space="preserve">Sensitive information may only be collected if the individual consents and the information is reasonably necessary, </w:t>
      </w:r>
      <w:r>
        <w:rPr>
          <w:i/>
          <w:iCs/>
        </w:rPr>
        <w:t>or</w:t>
      </w:r>
      <w:r>
        <w:t xml:space="preserve"> if an exception applies (such as collection </w:t>
      </w:r>
      <w:r w:rsidRPr="00CD5EC9">
        <w:rPr>
          <w:u w:val="single"/>
        </w:rPr>
        <w:t>required</w:t>
      </w:r>
      <w:r>
        <w:t xml:space="preserve"> or </w:t>
      </w:r>
      <w:r w:rsidRPr="00C54CC5">
        <w:rPr>
          <w:u w:val="single"/>
        </w:rPr>
        <w:t>authorised</w:t>
      </w:r>
      <w:r>
        <w:t xml:space="preserve"> by law).</w:t>
      </w:r>
      <w:r>
        <w:rPr>
          <w:rStyle w:val="FootnoteReference"/>
        </w:rPr>
        <w:footnoteReference w:id="83"/>
      </w:r>
    </w:p>
    <w:p w14:paraId="5FFFA251" w14:textId="06080792" w:rsidR="00463ABB" w:rsidRDefault="005776EE" w:rsidP="00A30EAA">
      <w:pPr>
        <w:pStyle w:val="Body"/>
      </w:pPr>
      <w:r>
        <w:t>Law firms may collect sensitive information in various contexts: health information in personal injury matters, criminal history in criminal defence matters, or information about political exposure for AML/CTF purposes. Where consent is the basis for collection, ensure the consent is informed and voluntary.</w:t>
      </w:r>
      <w:r w:rsidR="00C54CC5">
        <w:t xml:space="preserve"> Where another exception is the basis (</w:t>
      </w:r>
      <w:r w:rsidR="00001911">
        <w:t>health information concerning capacity of an at-risk beneficiary, for example</w:t>
      </w:r>
      <w:r w:rsidR="0027194C">
        <w:t>)</w:t>
      </w:r>
      <w:r w:rsidR="00001911">
        <w:t xml:space="preserve"> </w:t>
      </w:r>
      <w:r w:rsidR="00FE4FD4">
        <w:t>ensure that there is justification for collection.</w:t>
      </w:r>
      <w:r w:rsidR="0027194C">
        <w:t xml:space="preserve"> This can be difficult where collection is only good practice rather than a mandatory requirement.</w:t>
      </w:r>
    </w:p>
    <w:p w14:paraId="296E59B1" w14:textId="77777777" w:rsidR="005776EE" w:rsidRDefault="005776EE" w:rsidP="00973158">
      <w:pPr>
        <w:pStyle w:val="Heading3"/>
      </w:pPr>
      <w:bookmarkStart w:id="168" w:name="_Toc220069922"/>
      <w:r>
        <w:t>Collection by lawful and fair means</w:t>
      </w:r>
      <w:bookmarkEnd w:id="168"/>
    </w:p>
    <w:p w14:paraId="0973B30C" w14:textId="77777777" w:rsidR="005776EE" w:rsidRDefault="005776EE" w:rsidP="00A30EAA">
      <w:pPr>
        <w:pStyle w:val="Body"/>
      </w:pPr>
      <w:r>
        <w:t>APP 3.5 requires that personal information be collected only by lawful and fair means, and APP 3.6 requires that, where reasonable and practicable, information be collected directly from the individual.</w:t>
      </w:r>
      <w:r>
        <w:rPr>
          <w:rStyle w:val="FootnoteReference"/>
        </w:rPr>
        <w:footnoteReference w:id="84"/>
      </w:r>
    </w:p>
    <w:p w14:paraId="06406234" w14:textId="0E497086" w:rsidR="00DB4404" w:rsidRDefault="005776EE" w:rsidP="00A30EAA">
      <w:pPr>
        <w:pStyle w:val="Body"/>
      </w:pPr>
      <w:r>
        <w:t xml:space="preserve">For law firms, collecting information </w:t>
      </w:r>
      <w:r w:rsidR="00DB4404">
        <w:t>about</w:t>
      </w:r>
      <w:r>
        <w:t xml:space="preserve"> third parties (such as beneficial owners, witnesses, </w:t>
      </w:r>
      <w:r w:rsidR="00DB4404">
        <w:t xml:space="preserve">opposing parties </w:t>
      </w:r>
      <w:r>
        <w:t>or information from searches and investigations) is common and permitted, but the collection must still be lawful and fair.</w:t>
      </w:r>
      <w:r w:rsidR="00695EC4">
        <w:t xml:space="preserve"> </w:t>
      </w:r>
      <w:r w:rsidR="00DB4404">
        <w:t>Most scenarios do not involve collection for AML purposes but there are some.</w:t>
      </w:r>
    </w:p>
    <w:p w14:paraId="2A93394C" w14:textId="77777777" w:rsidR="001F3BAF" w:rsidRDefault="001F3BAF">
      <w:pPr>
        <w:spacing w:after="0"/>
        <w:rPr>
          <w:b/>
          <w:bCs/>
          <w:iCs/>
          <w:color w:val="0F2D52"/>
          <w:sz w:val="28"/>
          <w:szCs w:val="28"/>
        </w:rPr>
      </w:pPr>
      <w:bookmarkStart w:id="169" w:name="_Toc220069923"/>
      <w:bookmarkStart w:id="170" w:name="_Toc220655090"/>
      <w:r>
        <w:br w:type="page"/>
      </w:r>
    </w:p>
    <w:p w14:paraId="7891C533" w14:textId="31001E8B" w:rsidR="005776EE" w:rsidRDefault="005776EE" w:rsidP="00A30EAA">
      <w:pPr>
        <w:pStyle w:val="NumberedHeading2"/>
      </w:pPr>
      <w:bookmarkStart w:id="171" w:name="_Toc231895175"/>
      <w:r>
        <w:lastRenderedPageBreak/>
        <w:t>APP 5</w:t>
      </w:r>
      <w:r w:rsidR="003366DB">
        <w:t xml:space="preserve">: </w:t>
      </w:r>
      <w:r>
        <w:t>Notification of Collection</w:t>
      </w:r>
      <w:bookmarkEnd w:id="169"/>
      <w:bookmarkEnd w:id="170"/>
      <w:bookmarkEnd w:id="171"/>
    </w:p>
    <w:p w14:paraId="0B471FA1" w14:textId="77777777" w:rsidR="005776EE" w:rsidRDefault="005776EE" w:rsidP="00A30EAA">
      <w:pPr>
        <w:pStyle w:val="Body"/>
      </w:pPr>
      <w:r>
        <w:t>APP 5 requires notification to individuals at or before the time of collection, or as soon as practicable afterwards.</w:t>
      </w:r>
      <w:r>
        <w:rPr>
          <w:rStyle w:val="FootnoteReference"/>
        </w:rPr>
        <w:footnoteReference w:id="85"/>
      </w:r>
      <w:r>
        <w:t xml:space="preserve"> This is a significant new obligation for firms that have not previously been subject to the Privacy Act.</w:t>
      </w:r>
    </w:p>
    <w:p w14:paraId="42951EC2" w14:textId="77777777" w:rsidR="005776EE" w:rsidRDefault="005776EE" w:rsidP="00973158">
      <w:pPr>
        <w:pStyle w:val="Heading3"/>
      </w:pPr>
      <w:bookmarkStart w:id="172" w:name="_Toc220069924"/>
      <w:r>
        <w:t>Required content of notification</w:t>
      </w:r>
      <w:bookmarkEnd w:id="172"/>
    </w:p>
    <w:p w14:paraId="6DC9C5F3" w14:textId="77777777" w:rsidR="005776EE" w:rsidRDefault="005776EE" w:rsidP="00A30EAA">
      <w:pPr>
        <w:pStyle w:val="Body"/>
      </w:pPr>
      <w:r>
        <w:t>APP 5.2 specifies nine matters that must be notified:</w:t>
      </w:r>
      <w:r>
        <w:rPr>
          <w:rStyle w:val="FootnoteReference"/>
        </w:rPr>
        <w:footnoteReference w:id="86"/>
      </w:r>
    </w:p>
    <w:p w14:paraId="70BBF46F" w14:textId="5EC11B46" w:rsidR="005776EE" w:rsidRDefault="005776EE" w:rsidP="00A30EAA">
      <w:pPr>
        <w:pStyle w:val="ListParagraph"/>
      </w:pPr>
      <w:r>
        <w:t>the entity's identity and contact details;</w:t>
      </w:r>
    </w:p>
    <w:p w14:paraId="759D3B96" w14:textId="20C1A7AF" w:rsidR="005776EE" w:rsidRDefault="005776EE" w:rsidP="00A30EAA">
      <w:pPr>
        <w:pStyle w:val="ListParagraph"/>
      </w:pPr>
      <w:r>
        <w:t>if collection is from a third party, the fact and circumstances of that collection;</w:t>
      </w:r>
    </w:p>
    <w:p w14:paraId="2C03CDAC" w14:textId="61FEA285" w:rsidR="005776EE" w:rsidRDefault="005776EE" w:rsidP="00A30EAA">
      <w:pPr>
        <w:pStyle w:val="ListParagraph"/>
      </w:pPr>
      <w:r>
        <w:t>if collection is required or authorised by law, that fact and the law requiring/authorising it;</w:t>
      </w:r>
    </w:p>
    <w:p w14:paraId="28F613C8" w14:textId="44F45F4E" w:rsidR="005776EE" w:rsidRDefault="005776EE" w:rsidP="00A30EAA">
      <w:pPr>
        <w:pStyle w:val="ListParagraph"/>
      </w:pPr>
      <w:r>
        <w:t>the purposes for which information is collected;</w:t>
      </w:r>
    </w:p>
    <w:p w14:paraId="0361A066" w14:textId="79FDD9F3" w:rsidR="005776EE" w:rsidRDefault="005776EE" w:rsidP="00A30EAA">
      <w:pPr>
        <w:pStyle w:val="ListParagraph"/>
      </w:pPr>
      <w:r>
        <w:t>the consequences if information is not collected;</w:t>
      </w:r>
    </w:p>
    <w:p w14:paraId="53531A22" w14:textId="47BFD9C7" w:rsidR="005776EE" w:rsidRDefault="005776EE" w:rsidP="00A30EAA">
      <w:pPr>
        <w:pStyle w:val="ListParagraph"/>
      </w:pPr>
      <w:r>
        <w:t>the entities or types of entities to which information is usually disclosed;</w:t>
      </w:r>
    </w:p>
    <w:p w14:paraId="361E6338" w14:textId="6DE6223A" w:rsidR="005776EE" w:rsidRDefault="005776EE" w:rsidP="00A30EAA">
      <w:pPr>
        <w:pStyle w:val="ListParagraph"/>
      </w:pPr>
      <w:r>
        <w:t>that the privacy policy contains information about access and correction;</w:t>
      </w:r>
    </w:p>
    <w:p w14:paraId="46D11F27" w14:textId="0AD065A0" w:rsidR="005776EE" w:rsidRDefault="005776EE" w:rsidP="00A30EAA">
      <w:pPr>
        <w:pStyle w:val="ListParagraph"/>
      </w:pPr>
      <w:r>
        <w:t>that the privacy policy contains information about complaints; and</w:t>
      </w:r>
    </w:p>
    <w:p w14:paraId="0F557AD2" w14:textId="6A2CFD12" w:rsidR="0019769A" w:rsidRDefault="005776EE" w:rsidP="00A30EAA">
      <w:pPr>
        <w:pStyle w:val="ListParagraph"/>
      </w:pPr>
      <w:r>
        <w:t>if disclosure overseas is likely, the countries where recipients are located.</w:t>
      </w:r>
    </w:p>
    <w:p w14:paraId="588E65EC" w14:textId="40E0A314" w:rsidR="005776EE" w:rsidRDefault="005776EE" w:rsidP="00A30EAA">
      <w:pPr>
        <w:pStyle w:val="Body"/>
      </w:pPr>
      <w:r>
        <w:t>The Collection Notice Template (Document 02)</w:t>
      </w:r>
      <w:r w:rsidR="00805BBC">
        <w:t xml:space="preserve"> was prepared by the OAIC as a generic notice</w:t>
      </w:r>
      <w:r w:rsidR="009A5B7C">
        <w:t xml:space="preserve"> designed for AML reporting entities. The scope is therefore very limited</w:t>
      </w:r>
      <w:r w:rsidR="00805BBC">
        <w:t>. Each firm should consider whether more templates specific to individual scenarios might be useful.</w:t>
      </w:r>
      <w:r w:rsidR="009F56F1">
        <w:t xml:space="preserve"> </w:t>
      </w:r>
    </w:p>
    <w:p w14:paraId="181AE925" w14:textId="7960A8ED" w:rsidR="00026C5A" w:rsidRDefault="00026C5A" w:rsidP="00A30EAA">
      <w:pPr>
        <w:pStyle w:val="Body"/>
      </w:pPr>
      <w:r>
        <w:t>Where collected concerning a represented party the Collection Notice should go to that person’s solicitor.</w:t>
      </w:r>
      <w:r w:rsidR="008155D8">
        <w:rPr>
          <w:rStyle w:val="FootnoteReference"/>
        </w:rPr>
        <w:footnoteReference w:id="87"/>
      </w:r>
    </w:p>
    <w:p w14:paraId="69E8E1E7" w14:textId="7E0FDE37" w:rsidR="005776EE" w:rsidRDefault="005776EE" w:rsidP="00A30EAA">
      <w:pPr>
        <w:pStyle w:val="NumberedHeading2"/>
      </w:pPr>
      <w:bookmarkStart w:id="173" w:name="_Toc220069925"/>
      <w:bookmarkStart w:id="174" w:name="_Toc220655091"/>
      <w:bookmarkStart w:id="175" w:name="_Toc231895176"/>
      <w:r>
        <w:t>APP 6</w:t>
      </w:r>
      <w:r w:rsidR="003366DB">
        <w:t xml:space="preserve">: </w:t>
      </w:r>
      <w:r>
        <w:t>Use and Disclosure</w:t>
      </w:r>
      <w:bookmarkEnd w:id="173"/>
      <w:bookmarkEnd w:id="174"/>
      <w:bookmarkEnd w:id="175"/>
    </w:p>
    <w:p w14:paraId="262F4C96" w14:textId="77777777" w:rsidR="005776EE" w:rsidRDefault="005776EE" w:rsidP="00A30EAA">
      <w:pPr>
        <w:pStyle w:val="Body"/>
      </w:pPr>
      <w:r>
        <w:t>APP 6 governs how personal information may be used and disclosed after collection. The core principle is that information should only be used or disclosed for the 'primary purpose' of collection, unless an exception applies.</w:t>
      </w:r>
      <w:r>
        <w:rPr>
          <w:rStyle w:val="FootnoteReference"/>
        </w:rPr>
        <w:footnoteReference w:id="88"/>
      </w:r>
    </w:p>
    <w:p w14:paraId="7F99DF05" w14:textId="77777777" w:rsidR="005776EE" w:rsidRDefault="005776EE" w:rsidP="00973158">
      <w:pPr>
        <w:pStyle w:val="Heading3"/>
      </w:pPr>
      <w:bookmarkStart w:id="176" w:name="_Toc220069926"/>
      <w:r>
        <w:t>Primary purpose</w:t>
      </w:r>
      <w:bookmarkEnd w:id="176"/>
    </w:p>
    <w:p w14:paraId="4D0DBC6D" w14:textId="77777777" w:rsidR="005776EE" w:rsidRDefault="005776EE" w:rsidP="00A30EAA">
      <w:pPr>
        <w:pStyle w:val="Body"/>
      </w:pPr>
      <w:r>
        <w:t>The 'primary purpose' is the main reason the information was collected. For law firms, the primary purpose of collecting client information is typically to provide legal services in connection with the relevant matter. Use for that purpose requires no further justification.</w:t>
      </w:r>
    </w:p>
    <w:p w14:paraId="230273F2" w14:textId="77777777" w:rsidR="005776EE" w:rsidRDefault="005776EE" w:rsidP="00973158">
      <w:pPr>
        <w:pStyle w:val="Heading3"/>
      </w:pPr>
      <w:bookmarkStart w:id="177" w:name="_Toc220069927"/>
      <w:r>
        <w:t>Exceptions for secondary purposes</w:t>
      </w:r>
      <w:bookmarkEnd w:id="177"/>
    </w:p>
    <w:p w14:paraId="3026D64B" w14:textId="77777777" w:rsidR="005776EE" w:rsidRDefault="005776EE" w:rsidP="00A30EAA">
      <w:pPr>
        <w:pStyle w:val="Body"/>
      </w:pPr>
      <w:r>
        <w:t>APP 6.2 sets out exceptions that permit use or disclosure for a secondary purpose. Exceptions most relevant to law firms include:</w:t>
      </w:r>
      <w:r>
        <w:rPr>
          <w:rStyle w:val="FootnoteReference"/>
        </w:rPr>
        <w:footnoteReference w:id="89"/>
      </w:r>
    </w:p>
    <w:p w14:paraId="5CF7CABE" w14:textId="0D62678D" w:rsidR="005776EE" w:rsidRDefault="005776EE" w:rsidP="00A30EAA">
      <w:pPr>
        <w:pStyle w:val="ListParagraph"/>
      </w:pPr>
      <w:r>
        <w:rPr>
          <w:b/>
          <w:bCs/>
        </w:rPr>
        <w:t xml:space="preserve">Consent: </w:t>
      </w:r>
      <w:r>
        <w:t>The individual has consented to the secondary use or disclosure.</w:t>
      </w:r>
    </w:p>
    <w:p w14:paraId="2929D083" w14:textId="132B4818" w:rsidR="005776EE" w:rsidRDefault="005776EE" w:rsidP="00A30EAA">
      <w:pPr>
        <w:pStyle w:val="ListParagraph"/>
      </w:pPr>
      <w:r>
        <w:rPr>
          <w:b/>
          <w:bCs/>
        </w:rPr>
        <w:t xml:space="preserve">Related purpose (reasonable expectation): </w:t>
      </w:r>
      <w:r>
        <w:t>The secondary purpose is related to the primary purpose, and the individual would reasonably expect the use or disclosure.</w:t>
      </w:r>
    </w:p>
    <w:p w14:paraId="4431043C" w14:textId="7E797936" w:rsidR="005776EE" w:rsidRDefault="005776EE" w:rsidP="00A30EAA">
      <w:pPr>
        <w:pStyle w:val="ListParagraph"/>
      </w:pPr>
      <w:r>
        <w:rPr>
          <w:b/>
          <w:bCs/>
        </w:rPr>
        <w:t xml:space="preserve">Required or authorised by law: </w:t>
      </w:r>
      <w:r>
        <w:t>The use or disclosure is required or authorised by or under an Australian law (including AML/CTF reporting obligations).</w:t>
      </w:r>
    </w:p>
    <w:p w14:paraId="277C590D" w14:textId="152C0B2D" w:rsidR="005776EE" w:rsidRDefault="005776EE" w:rsidP="00A30EAA">
      <w:pPr>
        <w:pStyle w:val="ListParagraph"/>
      </w:pPr>
      <w:r>
        <w:rPr>
          <w:b/>
          <w:bCs/>
        </w:rPr>
        <w:t xml:space="preserve">Enforcement: </w:t>
      </w:r>
      <w:r>
        <w:t>A permitted general situation applies (e.g., disclosure to enforcement bodies).</w:t>
      </w:r>
    </w:p>
    <w:p w14:paraId="687106BC" w14:textId="22DACCC9" w:rsidR="001F3BAF" w:rsidRDefault="005776EE" w:rsidP="00A30EAA">
      <w:pPr>
        <w:pStyle w:val="ListParagraph"/>
      </w:pPr>
      <w:r>
        <w:rPr>
          <w:b/>
          <w:bCs/>
        </w:rPr>
        <w:t xml:space="preserve">Legal proceedings: </w:t>
      </w:r>
      <w:r>
        <w:t>The use or disclosure is reasonably necessary for establishing, exercising or defending legal claims.</w:t>
      </w:r>
    </w:p>
    <w:p w14:paraId="3028A8A7" w14:textId="0BD762C1" w:rsidR="005776EE" w:rsidRPr="001F3BAF" w:rsidRDefault="001F3BAF" w:rsidP="001F3BAF">
      <w:pPr>
        <w:spacing w:after="0"/>
        <w:rPr>
          <w:color w:val="404040"/>
          <w:sz w:val="18"/>
        </w:rPr>
      </w:pPr>
      <w:r>
        <w:br w:type="page"/>
      </w:r>
    </w:p>
    <w:tbl>
      <w:tblPr>
        <w:tblW w:w="5000" w:type="pct"/>
        <w:tblCellMar>
          <w:left w:w="10" w:type="dxa"/>
          <w:right w:w="10" w:type="dxa"/>
        </w:tblCellMar>
        <w:tblLook w:val="04A0" w:firstRow="1" w:lastRow="0" w:firstColumn="1" w:lastColumn="0" w:noHBand="0" w:noVBand="1"/>
      </w:tblPr>
      <w:tblGrid>
        <w:gridCol w:w="9026"/>
      </w:tblGrid>
      <w:tr w:rsidR="005776EE" w14:paraId="1E44772A" w14:textId="77777777" w:rsidTr="00BC7731">
        <w:tc>
          <w:tcPr>
            <w:tcW w:w="9026" w:type="dxa"/>
            <w:shd w:val="clear" w:color="auto" w:fill="F3E5F5"/>
            <w:tcMar>
              <w:top w:w="160" w:type="dxa"/>
              <w:left w:w="200" w:type="dxa"/>
              <w:bottom w:w="160" w:type="dxa"/>
              <w:right w:w="200" w:type="dxa"/>
            </w:tcMar>
          </w:tcPr>
          <w:p w14:paraId="531C5148" w14:textId="77777777" w:rsidR="005776EE" w:rsidRPr="00BC7731" w:rsidRDefault="005776EE" w:rsidP="00A30EAA">
            <w:pPr>
              <w:pStyle w:val="Body"/>
              <w:rPr>
                <w:rStyle w:val="Strong"/>
              </w:rPr>
            </w:pPr>
            <w:r w:rsidRPr="00BC7731">
              <w:rPr>
                <w:rStyle w:val="Strong"/>
              </w:rPr>
              <w:lastRenderedPageBreak/>
              <w:t>Example: Use and Disclosure in Legal Practice</w:t>
            </w:r>
          </w:p>
          <w:p w14:paraId="00672215" w14:textId="77777777" w:rsidR="005776EE" w:rsidRDefault="005776EE" w:rsidP="00A30EAA">
            <w:pPr>
              <w:pStyle w:val="Body"/>
            </w:pPr>
            <w:r w:rsidRPr="00BC7731">
              <w:rPr>
                <w:b/>
                <w:bCs/>
              </w:rPr>
              <w:t>Scenario:</w:t>
            </w:r>
            <w:r>
              <w:t xml:space="preserve"> A firm collects a client's financial information for a property transaction (primary purpose). The firm then wants to use that information to send the client marketing about the firm's estate planning services.</w:t>
            </w:r>
          </w:p>
          <w:p w14:paraId="0F933AD3" w14:textId="72C6CCF0" w:rsidR="005776EE" w:rsidRDefault="005776EE" w:rsidP="00A30EAA">
            <w:pPr>
              <w:pStyle w:val="Body"/>
            </w:pPr>
            <w:r w:rsidRPr="00BC7731">
              <w:rPr>
                <w:b/>
                <w:bCs/>
              </w:rPr>
              <w:t>Analysis:</w:t>
            </w:r>
            <w:r>
              <w:t xml:space="preserve"> Marketing is a secondary purpose. Would the client reasonably expect their financial details to be used for marketing? Likely not. Unless consent is obtained, this use would breach APP 6. Better practice: Seek separate consent for marketing</w:t>
            </w:r>
            <w:r w:rsidR="008F32EF">
              <w:t>. In addition to the Privacy Act obligations a professional relationship can be undermined by an overly commercial approach.</w:t>
            </w:r>
          </w:p>
        </w:tc>
      </w:tr>
    </w:tbl>
    <w:p w14:paraId="5D16C73B" w14:textId="2067CD95" w:rsidR="005776EE" w:rsidRDefault="005776EE" w:rsidP="00A30EAA">
      <w:pPr>
        <w:pStyle w:val="NumberedHeading2"/>
      </w:pPr>
      <w:bookmarkStart w:id="178" w:name="_Toc220069928"/>
      <w:bookmarkStart w:id="179" w:name="_Toc220655092"/>
      <w:bookmarkStart w:id="180" w:name="_Toc231895177"/>
      <w:r>
        <w:t>APP 11</w:t>
      </w:r>
      <w:r w:rsidR="003366DB">
        <w:t xml:space="preserve">: </w:t>
      </w:r>
      <w:r>
        <w:t>Security of Personal Information</w:t>
      </w:r>
      <w:bookmarkEnd w:id="178"/>
      <w:bookmarkEnd w:id="179"/>
      <w:bookmarkEnd w:id="180"/>
    </w:p>
    <w:p w14:paraId="4DE61440" w14:textId="4C465623" w:rsidR="005776EE" w:rsidRDefault="005776EE" w:rsidP="00A30EAA">
      <w:pPr>
        <w:pStyle w:val="Body"/>
      </w:pPr>
      <w:r>
        <w:t>APP 11 requires entities to take reasonable steps to protect personal information from misuse, interference and loss, and from unauthorised access, modification or disclosure.</w:t>
      </w:r>
      <w:r>
        <w:rPr>
          <w:rStyle w:val="FootnoteReference"/>
        </w:rPr>
        <w:footnoteReference w:id="90"/>
      </w:r>
      <w:r>
        <w:t xml:space="preserve"> This is one of the most important APPs for law firms given the sensitivity of legal information</w:t>
      </w:r>
      <w:r w:rsidR="005229D5">
        <w:t xml:space="preserve"> and one of the most difficult.</w:t>
      </w:r>
    </w:p>
    <w:p w14:paraId="0EA3B1B8" w14:textId="77777777" w:rsidR="005776EE" w:rsidRDefault="005776EE" w:rsidP="00973158">
      <w:pPr>
        <w:pStyle w:val="Heading3"/>
      </w:pPr>
      <w:bookmarkStart w:id="181" w:name="_Toc220069929"/>
      <w:r>
        <w:t>What are 'reasonable steps'?</w:t>
      </w:r>
      <w:bookmarkEnd w:id="181"/>
    </w:p>
    <w:p w14:paraId="38E5AAD9" w14:textId="1A88A4F9" w:rsidR="005776EE" w:rsidRDefault="005776EE" w:rsidP="00A30EAA">
      <w:pPr>
        <w:pStyle w:val="Body"/>
      </w:pPr>
      <w:r>
        <w:t xml:space="preserve">The OAIC's Guide to Securing Personal Information provides </w:t>
      </w:r>
      <w:r w:rsidR="005229D5">
        <w:t>some</w:t>
      </w:r>
      <w:r>
        <w:t xml:space="preserve"> guidance on what reasonable steps might include.</w:t>
      </w:r>
      <w:r>
        <w:rPr>
          <w:rStyle w:val="FootnoteReference"/>
        </w:rPr>
        <w:footnoteReference w:id="91"/>
      </w:r>
      <w:r>
        <w:t xml:space="preserve"> Key security measures include:</w:t>
      </w:r>
    </w:p>
    <w:p w14:paraId="5DD819DA" w14:textId="4DFAC7A6" w:rsidR="005776EE" w:rsidRDefault="005776EE" w:rsidP="00A30EAA">
      <w:pPr>
        <w:pStyle w:val="ListParagraph"/>
      </w:pPr>
      <w:r>
        <w:rPr>
          <w:b/>
          <w:bCs/>
        </w:rPr>
        <w:t xml:space="preserve">Governance: </w:t>
      </w:r>
      <w:r>
        <w:t>Clear responsibility for information security; policies and procedures; regular review.</w:t>
      </w:r>
    </w:p>
    <w:p w14:paraId="4664A3ED" w14:textId="3409099A" w:rsidR="005776EE" w:rsidRDefault="005776EE" w:rsidP="00A30EAA">
      <w:pPr>
        <w:pStyle w:val="ListParagraph"/>
      </w:pPr>
      <w:r>
        <w:rPr>
          <w:b/>
          <w:bCs/>
        </w:rPr>
        <w:t xml:space="preserve">Technical measures: </w:t>
      </w:r>
      <w:r>
        <w:t>Access controls; strong passwords and MFA; encryption; secure networks; updated software; malware protection.</w:t>
      </w:r>
    </w:p>
    <w:p w14:paraId="1DF18BDF" w14:textId="3316A43B" w:rsidR="005776EE" w:rsidRDefault="005776EE" w:rsidP="00A30EAA">
      <w:pPr>
        <w:pStyle w:val="ListParagraph"/>
      </w:pPr>
      <w:r>
        <w:rPr>
          <w:b/>
          <w:bCs/>
        </w:rPr>
        <w:t xml:space="preserve">Physical measures: </w:t>
      </w:r>
      <w:r>
        <w:t>Secure premises; locked storage; clear desk policies; secure disposal.</w:t>
      </w:r>
    </w:p>
    <w:p w14:paraId="568FBC82" w14:textId="5F14C7AE" w:rsidR="005776EE" w:rsidRDefault="005776EE" w:rsidP="00A30EAA">
      <w:pPr>
        <w:pStyle w:val="ListParagraph"/>
      </w:pPr>
      <w:r>
        <w:rPr>
          <w:b/>
          <w:bCs/>
        </w:rPr>
        <w:t xml:space="preserve">Personnel measures: </w:t>
      </w:r>
      <w:r>
        <w:t>Staff training; confidentiality agreements; access based on role; offboarding procedures.</w:t>
      </w:r>
    </w:p>
    <w:p w14:paraId="4B47AF08" w14:textId="77777777" w:rsidR="00C71DAD" w:rsidRDefault="00C71DAD" w:rsidP="00A30EAA">
      <w:pPr>
        <w:pStyle w:val="ListParagraph"/>
      </w:pPr>
    </w:p>
    <w:p w14:paraId="45881DFA" w14:textId="77777777" w:rsidR="001853E3" w:rsidRDefault="00C71DAD" w:rsidP="00A30EAA">
      <w:pPr>
        <w:pStyle w:val="Body"/>
      </w:pPr>
      <w:r>
        <w:t xml:space="preserve">QLS suggests that serious consideration be given to </w:t>
      </w:r>
      <w:r w:rsidR="00A26241">
        <w:t xml:space="preserve">obtaining a </w:t>
      </w:r>
      <w:r w:rsidR="00A46590">
        <w:t>c</w:t>
      </w:r>
      <w:r w:rsidR="00A26241">
        <w:t xml:space="preserve">ybersecurity </w:t>
      </w:r>
      <w:r w:rsidR="00A46590">
        <w:t>c</w:t>
      </w:r>
      <w:r w:rsidR="00A26241">
        <w:t xml:space="preserve">ertification </w:t>
      </w:r>
      <w:r w:rsidR="00A46590">
        <w:t xml:space="preserve">(likely silver-level 2 or gold tier-level 3) </w:t>
      </w:r>
      <w:r w:rsidR="00A26241">
        <w:t xml:space="preserve">for your firm using the </w:t>
      </w:r>
      <w:hyperlink r:id="rId13" w:history="1">
        <w:r w:rsidR="00A26241" w:rsidRPr="00030E23">
          <w:rPr>
            <w:rStyle w:val="Hyperlink"/>
          </w:rPr>
          <w:t>SMB-1001 certification system</w:t>
        </w:r>
      </w:hyperlink>
      <w:r w:rsidR="00A26241">
        <w:t xml:space="preserve">. </w:t>
      </w:r>
    </w:p>
    <w:p w14:paraId="23C20054" w14:textId="750E6D68" w:rsidR="00C71DAD" w:rsidRDefault="00A26241" w:rsidP="00A30EAA">
      <w:pPr>
        <w:pStyle w:val="Body"/>
      </w:pPr>
      <w:r>
        <w:t xml:space="preserve">This is a </w:t>
      </w:r>
      <w:r w:rsidR="00030E23">
        <w:t xml:space="preserve">highly cost-effective </w:t>
      </w:r>
      <w:r w:rsidR="00B15183">
        <w:t xml:space="preserve">set of control measures </w:t>
      </w:r>
      <w:r w:rsidR="0061390C">
        <w:t xml:space="preserve">designed for smaller organizations which take cybersecurity seriously but can’t afford to spend tens of thousands of dollars hiring </w:t>
      </w:r>
      <w:r w:rsidR="00164598">
        <w:t>consultants to design a bespoke plan for them. Certification is available at a reduced rate to QLS members.</w:t>
      </w:r>
    </w:p>
    <w:p w14:paraId="304DF2E6" w14:textId="77777777" w:rsidR="00C007F2" w:rsidRDefault="00F30DCF" w:rsidP="00A30EAA">
      <w:pPr>
        <w:pStyle w:val="Body"/>
        <w:rPr>
          <w:b/>
          <w:bCs/>
        </w:rPr>
      </w:pPr>
      <w:r>
        <w:t xml:space="preserve">SMB certification </w:t>
      </w:r>
      <w:r w:rsidRPr="001853E3">
        <w:rPr>
          <w:b/>
          <w:bCs/>
        </w:rPr>
        <w:t>does not</w:t>
      </w:r>
      <w:r w:rsidR="00C007F2">
        <w:rPr>
          <w:b/>
          <w:bCs/>
        </w:rPr>
        <w:t>:</w:t>
      </w:r>
      <w:r w:rsidRPr="001853E3">
        <w:rPr>
          <w:b/>
          <w:bCs/>
        </w:rPr>
        <w:t xml:space="preserve"> </w:t>
      </w:r>
    </w:p>
    <w:p w14:paraId="7A3AC359" w14:textId="77777777" w:rsidR="00C007F2" w:rsidRDefault="00F30DCF" w:rsidP="00A30EAA">
      <w:pPr>
        <w:pStyle w:val="ListParagraph"/>
      </w:pPr>
      <w:r w:rsidRPr="00473B8A">
        <w:rPr>
          <w:b/>
          <w:bCs/>
        </w:rPr>
        <w:t>provide safe harbour</w:t>
      </w:r>
      <w:r>
        <w:t xml:space="preserve"> from regulatory action if a breach occurs</w:t>
      </w:r>
      <w:r w:rsidR="00C007F2">
        <w:t>;</w:t>
      </w:r>
      <w:r>
        <w:t xml:space="preserve"> </w:t>
      </w:r>
      <w:r w:rsidR="00C007F2">
        <w:t>or</w:t>
      </w:r>
    </w:p>
    <w:p w14:paraId="23E94DEA" w14:textId="0333E83E" w:rsidR="00C007F2" w:rsidRDefault="00C007F2" w:rsidP="00A30EAA">
      <w:pPr>
        <w:pStyle w:val="ListParagraph"/>
      </w:pPr>
      <w:r>
        <w:t xml:space="preserve">satisfy all your cybersecurity requirements (from stakeholders such as PEXA/ARNECC, the Family Court, </w:t>
      </w:r>
      <w:r w:rsidR="00473B8A">
        <w:t>your PII insurer)</w:t>
      </w:r>
    </w:p>
    <w:p w14:paraId="0F63C742" w14:textId="6A393818" w:rsidR="00F30DCF" w:rsidRDefault="00F30DCF" w:rsidP="00A30EAA">
      <w:pPr>
        <w:pStyle w:val="Body"/>
      </w:pPr>
      <w:r>
        <w:t xml:space="preserve">but it does provide an </w:t>
      </w:r>
      <w:r w:rsidR="009433CB">
        <w:t xml:space="preserve">excellent </w:t>
      </w:r>
      <w:r w:rsidR="00473B8A">
        <w:t>starting point which</w:t>
      </w:r>
      <w:r w:rsidR="009433CB">
        <w:t xml:space="preserve"> </w:t>
      </w:r>
      <w:r w:rsidR="00473B8A">
        <w:t>can be built on later</w:t>
      </w:r>
      <w:r w:rsidR="009433CB">
        <w:t>.</w:t>
      </w:r>
    </w:p>
    <w:p w14:paraId="633FA08A" w14:textId="77777777" w:rsidR="005776EE" w:rsidRDefault="005776EE" w:rsidP="00973158">
      <w:pPr>
        <w:pStyle w:val="Heading3"/>
      </w:pPr>
      <w:bookmarkStart w:id="182" w:name="_Toc220069930"/>
      <w:r>
        <w:t>Destruction and de-identification</w:t>
      </w:r>
      <w:bookmarkEnd w:id="182"/>
    </w:p>
    <w:p w14:paraId="1AFEBBC1" w14:textId="77777777" w:rsidR="005776EE" w:rsidRDefault="005776EE" w:rsidP="00A30EAA">
      <w:pPr>
        <w:pStyle w:val="Body"/>
      </w:pPr>
      <w:r>
        <w:t>APP 11.2 requires that personal information be destroyed or de-identified once it is no longer needed for any purpose for which it may be used or disclosed under the APPs.</w:t>
      </w:r>
      <w:r>
        <w:rPr>
          <w:rStyle w:val="FootnoteReference"/>
        </w:rPr>
        <w:footnoteReference w:id="92"/>
      </w:r>
      <w:r>
        <w:t xml:space="preserve"> However, this obligation does not apply where the information is contained in a Commonwealth record or where retention is </w:t>
      </w:r>
      <w:r w:rsidRPr="005A627C">
        <w:rPr>
          <w:i/>
          <w:iCs/>
        </w:rPr>
        <w:t>required</w:t>
      </w:r>
      <w:r>
        <w:t xml:space="preserve"> by law.</w:t>
      </w:r>
    </w:p>
    <w:p w14:paraId="3975AAFD" w14:textId="18D14163" w:rsidR="005776EE" w:rsidRDefault="005776EE" w:rsidP="00A30EAA">
      <w:pPr>
        <w:pStyle w:val="Body"/>
      </w:pPr>
      <w:r>
        <w:t xml:space="preserve">For law firms, information must generally be retained for </w:t>
      </w:r>
      <w:r w:rsidRPr="005A627C">
        <w:rPr>
          <w:b/>
          <w:bCs/>
          <w:i/>
          <w:iCs/>
        </w:rPr>
        <w:t>at least</w:t>
      </w:r>
      <w:r>
        <w:t xml:space="preserve"> seven years under AML/CTF requirements (for designated services records), and legal profession requirements impose similar retention periods for trust account records. The Data Retention Schedule (Document 04) provides </w:t>
      </w:r>
      <w:r>
        <w:lastRenderedPageBreak/>
        <w:t>guidance on retention periods.</w:t>
      </w:r>
      <w:r w:rsidR="005A627C">
        <w:t xml:space="preserve"> Your specific policy should be informed by the </w:t>
      </w:r>
      <w:hyperlink r:id="rId14" w:history="1">
        <w:r w:rsidR="005A627C" w:rsidRPr="004253AB">
          <w:rPr>
            <w:rStyle w:val="Hyperlink"/>
          </w:rPr>
          <w:t xml:space="preserve">QLS </w:t>
        </w:r>
        <w:r w:rsidR="00C161BD" w:rsidRPr="004253AB">
          <w:rPr>
            <w:rStyle w:val="Hyperlink"/>
          </w:rPr>
          <w:t>Client Document retention guide</w:t>
        </w:r>
      </w:hyperlink>
      <w:r w:rsidR="004253AB">
        <w:rPr>
          <w:rStyle w:val="FootnoteReference"/>
        </w:rPr>
        <w:footnoteReference w:id="93"/>
      </w:r>
      <w:r w:rsidR="007D4C6A">
        <w:t xml:space="preserve"> and own risk assessment.</w:t>
      </w:r>
    </w:p>
    <w:p w14:paraId="1582D9D2" w14:textId="77777777" w:rsidR="001F3BAF" w:rsidRDefault="001F3BAF">
      <w:pPr>
        <w:spacing w:after="0"/>
        <w:rPr>
          <w:b/>
          <w:bCs/>
          <w:iCs/>
          <w:color w:val="0F2D52"/>
          <w:sz w:val="28"/>
          <w:szCs w:val="28"/>
        </w:rPr>
      </w:pPr>
      <w:bookmarkStart w:id="183" w:name="_Toc220069931"/>
      <w:bookmarkStart w:id="184" w:name="_Toc220655093"/>
      <w:bookmarkStart w:id="185" w:name="_Ref220935962"/>
      <w:r>
        <w:br w:type="page"/>
      </w:r>
    </w:p>
    <w:p w14:paraId="722D7783" w14:textId="5DF2AA1C" w:rsidR="005776EE" w:rsidRDefault="005776EE" w:rsidP="00A30EAA">
      <w:pPr>
        <w:pStyle w:val="NumberedHeading2"/>
      </w:pPr>
      <w:bookmarkStart w:id="186" w:name="_Toc231895178"/>
      <w:r>
        <w:lastRenderedPageBreak/>
        <w:t>APPs 12-13</w:t>
      </w:r>
      <w:r w:rsidR="003366DB">
        <w:t xml:space="preserve">: </w:t>
      </w:r>
      <w:r>
        <w:t>Access and Correction</w:t>
      </w:r>
      <w:bookmarkEnd w:id="183"/>
      <w:bookmarkEnd w:id="184"/>
      <w:bookmarkEnd w:id="185"/>
      <w:bookmarkEnd w:id="186"/>
    </w:p>
    <w:p w14:paraId="554EC0FE" w14:textId="4ED48D9F" w:rsidR="005776EE" w:rsidRDefault="005776EE" w:rsidP="00A30EAA">
      <w:pPr>
        <w:pStyle w:val="Body"/>
      </w:pPr>
      <w:r>
        <w:t>APPs 12 and 13 give individuals rights to access personal information held about them and to request correction of inaccurate information. These APPs create obligations that do not exist under professional confidentiality rules</w:t>
      </w:r>
      <w:r w:rsidR="000C61B1">
        <w:t xml:space="preserve"> but sit side-by-side with them</w:t>
      </w:r>
      <w:r>
        <w:t>.</w:t>
      </w:r>
    </w:p>
    <w:p w14:paraId="494EB966" w14:textId="0E9FC4AB" w:rsidR="005776EE" w:rsidRDefault="005776EE" w:rsidP="00973158">
      <w:pPr>
        <w:pStyle w:val="Heading3"/>
      </w:pPr>
      <w:bookmarkStart w:id="187" w:name="_Toc220069932"/>
      <w:r>
        <w:t>APP 12</w:t>
      </w:r>
      <w:r w:rsidR="003366DB">
        <w:t xml:space="preserve">: </w:t>
      </w:r>
      <w:r>
        <w:t>Access</w:t>
      </w:r>
      <w:bookmarkEnd w:id="187"/>
    </w:p>
    <w:p w14:paraId="6C2B51D2" w14:textId="08638C4C" w:rsidR="005776EE" w:rsidRDefault="005776EE" w:rsidP="00A30EAA">
      <w:pPr>
        <w:pStyle w:val="Body"/>
      </w:pPr>
      <w:r>
        <w:t>On request, an entity must give an individual access to personal information it holds about them.</w:t>
      </w:r>
      <w:r>
        <w:rPr>
          <w:rStyle w:val="FootnoteReference"/>
        </w:rPr>
        <w:footnoteReference w:id="94"/>
      </w:r>
      <w:r>
        <w:t xml:space="preserve"> </w:t>
      </w:r>
      <w:r w:rsidR="007415D2">
        <w:t xml:space="preserve">Note, this is NOT restricted to clients. </w:t>
      </w:r>
      <w:r>
        <w:t>Access must be provided within a reasonable period (the OAIC suggests 30 days as a benchmark) and in the manner requested by the individual if reasonable and practicable.</w:t>
      </w:r>
    </w:p>
    <w:p w14:paraId="54EEE856" w14:textId="77777777" w:rsidR="005776EE" w:rsidRDefault="005776EE" w:rsidP="00A30EAA">
      <w:pPr>
        <w:pStyle w:val="Body"/>
      </w:pPr>
      <w:r>
        <w:t>Exceptions to the access requirement are set out in APP 12.3. Exceptions most relevant to law firms include:</w:t>
      </w:r>
      <w:r>
        <w:rPr>
          <w:rStyle w:val="FootnoteReference"/>
        </w:rPr>
        <w:footnoteReference w:id="95"/>
      </w:r>
    </w:p>
    <w:p w14:paraId="6C541F9A" w14:textId="3402C526" w:rsidR="005776EE" w:rsidRPr="00BC7731" w:rsidRDefault="005776EE" w:rsidP="00A30EAA">
      <w:pPr>
        <w:pStyle w:val="ListParagraph"/>
      </w:pPr>
      <w:r w:rsidRPr="00BC7731">
        <w:t>giving access would reveal information to which legal professional privilege applies;</w:t>
      </w:r>
    </w:p>
    <w:p w14:paraId="724D5A84" w14:textId="1CA50CCD" w:rsidR="005776EE" w:rsidRPr="00BC7731" w:rsidRDefault="005776EE" w:rsidP="00A30EAA">
      <w:pPr>
        <w:pStyle w:val="ListParagraph"/>
      </w:pPr>
      <w:r w:rsidRPr="00BC7731">
        <w:t>giving access would prejudice one or more enforcement related activities conducted by an enforcement body;</w:t>
      </w:r>
    </w:p>
    <w:p w14:paraId="1C9678A9" w14:textId="75F09F37" w:rsidR="005776EE" w:rsidRPr="00BC7731" w:rsidRDefault="005776EE" w:rsidP="00A30EAA">
      <w:pPr>
        <w:pStyle w:val="ListParagraph"/>
      </w:pPr>
      <w:r w:rsidRPr="00BC7731">
        <w:t>giving access would have an unreasonable impact on the privacy of others;</w:t>
      </w:r>
    </w:p>
    <w:p w14:paraId="148AF468" w14:textId="4D50BD30" w:rsidR="00303683" w:rsidRPr="00BC7731" w:rsidRDefault="005776EE" w:rsidP="00A30EAA">
      <w:pPr>
        <w:pStyle w:val="ListParagraph"/>
      </w:pPr>
      <w:r w:rsidRPr="00BC7731">
        <w:t>the information relates to existing or anticipated legal proceedings and would not be accessible through discovery.</w:t>
      </w:r>
    </w:p>
    <w:tbl>
      <w:tblPr>
        <w:tblW w:w="5000" w:type="pct"/>
        <w:tblCellMar>
          <w:left w:w="10" w:type="dxa"/>
          <w:right w:w="10" w:type="dxa"/>
        </w:tblCellMar>
        <w:tblLook w:val="04A0" w:firstRow="1" w:lastRow="0" w:firstColumn="1" w:lastColumn="0" w:noHBand="0" w:noVBand="1"/>
      </w:tblPr>
      <w:tblGrid>
        <w:gridCol w:w="9026"/>
      </w:tblGrid>
      <w:tr w:rsidR="00EC2B02" w14:paraId="7DA15C72" w14:textId="77777777" w:rsidTr="00BC7731">
        <w:tc>
          <w:tcPr>
            <w:tcW w:w="9026" w:type="dxa"/>
            <w:shd w:val="clear" w:color="auto" w:fill="F3E5F5"/>
            <w:tcMar>
              <w:top w:w="160" w:type="dxa"/>
              <w:left w:w="200" w:type="dxa"/>
              <w:bottom w:w="160" w:type="dxa"/>
              <w:right w:w="200" w:type="dxa"/>
            </w:tcMar>
          </w:tcPr>
          <w:p w14:paraId="68F028EC" w14:textId="197C3E2D" w:rsidR="00EC2B02" w:rsidRPr="00BC7731" w:rsidRDefault="009A2FBC" w:rsidP="00A30EAA">
            <w:pPr>
              <w:pStyle w:val="Body"/>
              <w:rPr>
                <w:rStyle w:val="Strong"/>
              </w:rPr>
            </w:pPr>
            <w:r w:rsidRPr="00BC7731">
              <w:rPr>
                <w:rStyle w:val="Strong"/>
              </w:rPr>
              <w:t>A Privacy Act request needs a Privacy Act response</w:t>
            </w:r>
          </w:p>
          <w:p w14:paraId="185A2A27" w14:textId="789F7E14" w:rsidR="00EC2B02" w:rsidRPr="00EC2B02" w:rsidRDefault="00EC2B02" w:rsidP="00A30EAA">
            <w:pPr>
              <w:pStyle w:val="Body"/>
            </w:pPr>
            <w:r w:rsidRPr="00EC2B02">
              <w:t xml:space="preserve">If you are going to refuse an access request (say, if an </w:t>
            </w:r>
            <w:r w:rsidRPr="00EC2B02">
              <w:rPr>
                <w:u w:val="single"/>
              </w:rPr>
              <w:t>opposing</w:t>
            </w:r>
            <w:r w:rsidRPr="00EC2B02">
              <w:t xml:space="preserve"> client in a family law matter is attempting to weaponize the legislation) it is important </w:t>
            </w:r>
            <w:r w:rsidR="000B7810">
              <w:t>that</w:t>
            </w:r>
            <w:r w:rsidRPr="00EC2B02">
              <w:t xml:space="preserve"> the refusal is framed in terms of the privacy legislation, not just our standard duty of confidentiality. </w:t>
            </w:r>
          </w:p>
          <w:p w14:paraId="2A6DFC8D" w14:textId="15C8C683" w:rsidR="00712927" w:rsidRDefault="00EC2B02" w:rsidP="00A30EAA">
            <w:pPr>
              <w:pStyle w:val="Body"/>
            </w:pPr>
            <w:r w:rsidRPr="00EC2B02">
              <w:t xml:space="preserve">For example, if a general access request were made the first basis for refusal might be that as your firm is a Small Business, only the personal information collected for AML/CTF purposes is regulated and subject to the Access-Correction regime. </w:t>
            </w:r>
          </w:p>
          <w:p w14:paraId="3268E837" w14:textId="52BD5E70" w:rsidR="00EC2B02" w:rsidRDefault="00400B37" w:rsidP="00A30EAA">
            <w:pPr>
              <w:pStyle w:val="Body"/>
            </w:pPr>
            <w:r>
              <w:t>In many cases</w:t>
            </w:r>
            <w:r w:rsidR="00EC2B02" w:rsidRPr="00EC2B02">
              <w:t xml:space="preserve"> </w:t>
            </w:r>
            <w:r w:rsidR="00C8699C">
              <w:t xml:space="preserve">a further ground for </w:t>
            </w:r>
            <w:r w:rsidR="00EC2B02" w:rsidRPr="00EC2B02">
              <w:t>refusal would be on the “anticipated legal proceedings” ground rather than the instinctive position that it is part of our client file and therefore confidential.</w:t>
            </w:r>
          </w:p>
        </w:tc>
      </w:tr>
    </w:tbl>
    <w:p w14:paraId="2BC8A2E1" w14:textId="2A42943C" w:rsidR="00C527EB" w:rsidRDefault="00C527EB" w:rsidP="00A30EAA">
      <w:pPr>
        <w:pStyle w:val="Body"/>
      </w:pPr>
      <w:r>
        <w:t>Note that where the access request comes from a client/former client</w:t>
      </w:r>
      <w:r w:rsidR="00EC1195">
        <w:t>, elements of</w:t>
      </w:r>
      <w:r>
        <w:t xml:space="preserve"> the </w:t>
      </w:r>
      <w:r w:rsidR="005662CD">
        <w:t xml:space="preserve">file </w:t>
      </w:r>
      <w:r w:rsidR="00EC1195">
        <w:t>are</w:t>
      </w:r>
      <w:r w:rsidR="005662CD">
        <w:t xml:space="preserve"> the client’s property</w:t>
      </w:r>
      <w:r w:rsidR="00712927">
        <w:rPr>
          <w:rStyle w:val="FootnoteReference"/>
        </w:rPr>
        <w:footnoteReference w:id="96"/>
      </w:r>
      <w:r w:rsidR="00A549F1">
        <w:t xml:space="preserve"> and subject to </w:t>
      </w:r>
      <w:r w:rsidR="002D3EB5">
        <w:t>specific access rights under the ASCR</w:t>
      </w:r>
      <w:r w:rsidR="00AF7020">
        <w:rPr>
          <w:rStyle w:val="FootnoteReference"/>
        </w:rPr>
        <w:footnoteReference w:id="97"/>
      </w:r>
      <w:r w:rsidR="002D3EB5">
        <w:t>.</w:t>
      </w:r>
      <w:r w:rsidR="009C073A">
        <w:t xml:space="preserve"> The</w:t>
      </w:r>
      <w:r w:rsidR="007F62B1">
        <w:t xml:space="preserve"> client’s entitlement to access therefore comes from all three sources: the Privacy Act, the ASCR and the common law ownership rules.</w:t>
      </w:r>
    </w:p>
    <w:p w14:paraId="2E849857" w14:textId="13699147" w:rsidR="005776EE" w:rsidRDefault="005776EE" w:rsidP="00973158">
      <w:pPr>
        <w:pStyle w:val="Heading3"/>
      </w:pPr>
      <w:bookmarkStart w:id="188" w:name="_Toc220069933"/>
      <w:r>
        <w:t>APP 13</w:t>
      </w:r>
      <w:r w:rsidR="003366DB">
        <w:t xml:space="preserve">: </w:t>
      </w:r>
      <w:r>
        <w:t>Correction</w:t>
      </w:r>
      <w:bookmarkEnd w:id="188"/>
    </w:p>
    <w:p w14:paraId="2FD50438" w14:textId="77777777" w:rsidR="005776EE" w:rsidRDefault="005776EE" w:rsidP="00A30EAA">
      <w:pPr>
        <w:pStyle w:val="Body"/>
      </w:pPr>
      <w:r>
        <w:t xml:space="preserve">An entity must take reasonable steps to correct personal information it holds to ensure it is accurate, up-to-date, complete, relevant and not misleading, </w:t>
      </w:r>
      <w:r w:rsidRPr="009B4229">
        <w:t>having regard to the purpose for which it is held</w:t>
      </w:r>
      <w:r>
        <w:t>.</w:t>
      </w:r>
      <w:r>
        <w:rPr>
          <w:rStyle w:val="FootnoteReference"/>
        </w:rPr>
        <w:footnoteReference w:id="98"/>
      </w:r>
    </w:p>
    <w:p w14:paraId="7B905388" w14:textId="2B8AA147" w:rsidR="009B4229" w:rsidRDefault="009B4229" w:rsidP="00A30EAA">
      <w:pPr>
        <w:pStyle w:val="Body"/>
      </w:pPr>
      <w:r>
        <w:t xml:space="preserve">For the most part, solicitor’s standard </w:t>
      </w:r>
      <w:r w:rsidR="004D0E24">
        <w:t xml:space="preserve">practices should address this. If an active file, </w:t>
      </w:r>
      <w:r w:rsidR="00D23D76">
        <w:t xml:space="preserve">our usual </w:t>
      </w:r>
      <w:r w:rsidR="00C153C6">
        <w:t>risk-management</w:t>
      </w:r>
      <w:r w:rsidR="00D23D76">
        <w:t xml:space="preserve"> will ensure that pertinent information is kept up to date. </w:t>
      </w:r>
      <w:r w:rsidR="00B63C35">
        <w:t>Material held for retention and archiving purposes would not require active updating (except, perhaps, client contact details.)</w:t>
      </w:r>
    </w:p>
    <w:p w14:paraId="14DD2274" w14:textId="22A1441E" w:rsidR="00C153C6" w:rsidRDefault="00C153C6" w:rsidP="00A30EAA">
      <w:pPr>
        <w:pStyle w:val="Body"/>
      </w:pPr>
      <w:r>
        <w:t xml:space="preserve">Again, there is potential for weaponization if an opposing party seeks to demand that </w:t>
      </w:r>
      <w:r w:rsidR="00AB1BE0">
        <w:t xml:space="preserve">information held about them (their business’ turnover, for example) is “misleading” and they want you to substitute different data. </w:t>
      </w:r>
    </w:p>
    <w:p w14:paraId="1A0F9E2E" w14:textId="77777777" w:rsidR="005776EE" w:rsidRDefault="005776EE" w:rsidP="00A30EAA">
      <w:pPr>
        <w:pStyle w:val="Body"/>
      </w:pPr>
      <w:r>
        <w:t xml:space="preserve">If an entity refuses to correct information as requested, it must give written notice of the refusal (including reasons and complaint mechanisms), and on request, associate a statement with the </w:t>
      </w:r>
      <w:r>
        <w:lastRenderedPageBreak/>
        <w:t>information stating that the individual believes it to be inaccurate, out-of-date, incomplete, irrelevant or misleading.</w:t>
      </w:r>
      <w:r>
        <w:rPr>
          <w:rStyle w:val="FootnoteReference"/>
        </w:rPr>
        <w:footnoteReference w:id="99"/>
      </w:r>
    </w:p>
    <w:p w14:paraId="3B54B5F8" w14:textId="77777777" w:rsidR="005776EE" w:rsidRDefault="005776EE" w:rsidP="00973158">
      <w:r>
        <w:br w:type="page"/>
      </w:r>
    </w:p>
    <w:p w14:paraId="3BD5C861" w14:textId="6FB75A94" w:rsidR="005776EE" w:rsidRDefault="005776EE" w:rsidP="00A82687">
      <w:pPr>
        <w:pStyle w:val="NumberedHeading1"/>
      </w:pPr>
      <w:bookmarkStart w:id="189" w:name="_Toc220069934"/>
      <w:bookmarkStart w:id="190" w:name="_Toc220655094"/>
      <w:bookmarkStart w:id="191" w:name="_Toc231895179"/>
      <w:r w:rsidRPr="008B58A0">
        <w:lastRenderedPageBreak/>
        <w:t>Integrating</w:t>
      </w:r>
      <w:r>
        <w:t xml:space="preserve"> Privacy and AML/CTF Compliance</w:t>
      </w:r>
      <w:bookmarkEnd w:id="189"/>
      <w:bookmarkEnd w:id="190"/>
      <w:bookmarkEnd w:id="191"/>
    </w:p>
    <w:p w14:paraId="1375108D" w14:textId="760BF560" w:rsidR="005776EE" w:rsidRDefault="005776EE" w:rsidP="00A30EAA">
      <w:pPr>
        <w:pStyle w:val="Body"/>
      </w:pPr>
      <w:r>
        <w:t>The AML/CTF Tranche 2 reforms and privacy compliance are intimately connected. This chapter explains how the two regulatory regimes interact and how to build a compliance framework that satisfies both sets of obligations efficiently.</w:t>
      </w:r>
    </w:p>
    <w:p w14:paraId="0D08A680" w14:textId="399F07AF" w:rsidR="005776EE" w:rsidRDefault="005776EE" w:rsidP="00A30EAA">
      <w:pPr>
        <w:pStyle w:val="NumberedHeading2"/>
      </w:pPr>
      <w:bookmarkStart w:id="192" w:name="_Toc220069935"/>
      <w:bookmarkStart w:id="193" w:name="_Toc220655095"/>
      <w:bookmarkStart w:id="194" w:name="_Toc231895180"/>
      <w:r>
        <w:t xml:space="preserve">The AML/CTF </w:t>
      </w:r>
      <w:r w:rsidR="008E7A01">
        <w:t>T</w:t>
      </w:r>
      <w:r>
        <w:t>rigger for Privacy Obligations</w:t>
      </w:r>
      <w:bookmarkEnd w:id="192"/>
      <w:bookmarkEnd w:id="193"/>
      <w:bookmarkEnd w:id="194"/>
    </w:p>
    <w:p w14:paraId="1FE83599" w14:textId="48FE687F" w:rsidR="005776EE" w:rsidRDefault="005776EE" w:rsidP="00A30EAA">
      <w:pPr>
        <w:pStyle w:val="Body"/>
      </w:pPr>
      <w:r>
        <w:t>As explained in Chapter 2, the Privacy Act generally exempts small businesses (under $3 million annual turnover) from APP compliance. However, a business that is a 'reporting entity' under the AML/CTF Act is taken to be an 'organisation' for Privacy Act purposes, regardless of its turnover.</w:t>
      </w:r>
      <w:r>
        <w:rPr>
          <w:rStyle w:val="FootnoteReference"/>
        </w:rPr>
        <w:footnoteReference w:id="100"/>
      </w:r>
      <w:r w:rsidR="00F0359E">
        <w:t xml:space="preserve"> The Privacy Act applies to information </w:t>
      </w:r>
      <w:r w:rsidR="00331398">
        <w:t>collected for or in connection with AML/CTF purposes.</w:t>
      </w:r>
    </w:p>
    <w:p w14:paraId="6CB1A21C" w14:textId="7FAE40E9" w:rsidR="00331398" w:rsidRDefault="00A230D2" w:rsidP="00A30EAA">
      <w:pPr>
        <w:pStyle w:val="Body"/>
      </w:pPr>
      <w:r>
        <w:t xml:space="preserve">The OAIC has </w:t>
      </w:r>
      <w:r w:rsidR="00196599">
        <w:t>prepared an overview of privacy for AML entitie</w:t>
      </w:r>
      <w:r w:rsidR="00AD7E03">
        <w:t>s</w:t>
      </w:r>
      <w:r w:rsidR="00196599">
        <w:t>.</w:t>
      </w:r>
      <w:r w:rsidR="00AD7E03">
        <w:rPr>
          <w:rStyle w:val="FootnoteReference"/>
        </w:rPr>
        <w:footnoteReference w:id="101"/>
      </w:r>
    </w:p>
    <w:p w14:paraId="0D85315C" w14:textId="77B35C17" w:rsidR="005776EE" w:rsidRDefault="00736F8E" w:rsidP="00A30EAA">
      <w:pPr>
        <w:pStyle w:val="Body"/>
      </w:pPr>
      <w:r>
        <w:t>For the most part</w:t>
      </w:r>
      <w:r w:rsidR="005776EE">
        <w:t xml:space="preserve">, the provision of legal advice (even about matters that would otherwise be designated services) and representation in courts or tribunals are </w:t>
      </w:r>
      <w:r w:rsidR="005776EE">
        <w:rPr>
          <w:i/>
          <w:iCs/>
        </w:rPr>
        <w:t>not</w:t>
      </w:r>
      <w:r w:rsidR="005776EE">
        <w:t xml:space="preserve"> designated services.</w:t>
      </w:r>
    </w:p>
    <w:p w14:paraId="49C345ED" w14:textId="0884DF8C" w:rsidR="005776EE" w:rsidRDefault="005776EE" w:rsidP="00A30EAA">
      <w:pPr>
        <w:pStyle w:val="NumberedHeading2"/>
      </w:pPr>
      <w:bookmarkStart w:id="195" w:name="_Toc220069936"/>
      <w:bookmarkStart w:id="196" w:name="_Toc220655096"/>
      <w:bookmarkStart w:id="197" w:name="_Toc231895181"/>
      <w:r>
        <w:t>The Privacy/AML/CTF Information Lifecycle</w:t>
      </w:r>
      <w:bookmarkEnd w:id="195"/>
      <w:bookmarkEnd w:id="196"/>
      <w:bookmarkEnd w:id="197"/>
    </w:p>
    <w:p w14:paraId="5D0C7DC2" w14:textId="6FE8B90E" w:rsidR="00F0359E" w:rsidRDefault="00F0359E" w:rsidP="00A30EAA">
      <w:pPr>
        <w:pStyle w:val="Body"/>
      </w:pPr>
      <w:r>
        <w:t xml:space="preserve">What is collected </w:t>
      </w:r>
      <w:r w:rsidR="006F382F">
        <w:t>and how is it used?</w:t>
      </w:r>
    </w:p>
    <w:p w14:paraId="635E7514" w14:textId="27A416D4" w:rsidR="005776EE" w:rsidRDefault="005776EE" w:rsidP="00A30EAA">
      <w:pPr>
        <w:pStyle w:val="Body"/>
      </w:pPr>
      <w:r>
        <w:t>AML/CTF compliance requires collecting, using, disclosing, and retaining personal information. Each stage involves both AML/CTF and privacy obligations:</w:t>
      </w:r>
    </w:p>
    <w:tbl>
      <w:tblPr>
        <w:tblW w:w="5000" w:type="pct"/>
        <w:tblCellMar>
          <w:left w:w="10" w:type="dxa"/>
          <w:right w:w="10" w:type="dxa"/>
        </w:tblCellMar>
        <w:tblLook w:val="04A0" w:firstRow="1" w:lastRow="0" w:firstColumn="1" w:lastColumn="0" w:noHBand="0" w:noVBand="1"/>
      </w:tblPr>
      <w:tblGrid>
        <w:gridCol w:w="1600"/>
        <w:gridCol w:w="3713"/>
        <w:gridCol w:w="3713"/>
      </w:tblGrid>
      <w:tr w:rsidR="005776EE" w14:paraId="34946CE5" w14:textId="77777777" w:rsidTr="000E1801">
        <w:tc>
          <w:tcPr>
            <w:tcW w:w="1600" w:type="dxa"/>
            <w:shd w:val="clear" w:color="auto" w:fill="0F2D52"/>
            <w:tcMar>
              <w:top w:w="100" w:type="dxa"/>
              <w:left w:w="120" w:type="dxa"/>
              <w:bottom w:w="100" w:type="dxa"/>
              <w:right w:w="120" w:type="dxa"/>
            </w:tcMar>
          </w:tcPr>
          <w:p w14:paraId="39BE7441" w14:textId="77777777" w:rsidR="005776EE" w:rsidRPr="008E3A05" w:rsidRDefault="005776EE" w:rsidP="00BC7731">
            <w:pPr>
              <w:pStyle w:val="TableHeading"/>
            </w:pPr>
            <w:r w:rsidRPr="008E3A05">
              <w:t>Stage</w:t>
            </w:r>
          </w:p>
        </w:tc>
        <w:tc>
          <w:tcPr>
            <w:tcW w:w="3713" w:type="dxa"/>
            <w:shd w:val="clear" w:color="auto" w:fill="0F2D52"/>
            <w:tcMar>
              <w:top w:w="100" w:type="dxa"/>
              <w:left w:w="120" w:type="dxa"/>
              <w:bottom w:w="100" w:type="dxa"/>
              <w:right w:w="120" w:type="dxa"/>
            </w:tcMar>
          </w:tcPr>
          <w:p w14:paraId="5A7EC258" w14:textId="77777777" w:rsidR="005776EE" w:rsidRPr="008E3A05" w:rsidRDefault="005776EE" w:rsidP="00BC7731">
            <w:pPr>
              <w:pStyle w:val="TableHeading"/>
            </w:pPr>
            <w:r w:rsidRPr="008E3A05">
              <w:t>AML/CTF Requirement</w:t>
            </w:r>
          </w:p>
        </w:tc>
        <w:tc>
          <w:tcPr>
            <w:tcW w:w="3713" w:type="dxa"/>
            <w:shd w:val="clear" w:color="auto" w:fill="0F2D52"/>
            <w:tcMar>
              <w:top w:w="100" w:type="dxa"/>
              <w:left w:w="120" w:type="dxa"/>
              <w:bottom w:w="100" w:type="dxa"/>
              <w:right w:w="120" w:type="dxa"/>
            </w:tcMar>
          </w:tcPr>
          <w:p w14:paraId="4BF296EA" w14:textId="77777777" w:rsidR="005776EE" w:rsidRPr="008E3A05" w:rsidRDefault="005776EE" w:rsidP="00BC7731">
            <w:pPr>
              <w:pStyle w:val="TableHeading"/>
            </w:pPr>
            <w:r w:rsidRPr="008E3A05">
              <w:t>Privacy Requirement</w:t>
            </w:r>
          </w:p>
        </w:tc>
      </w:tr>
      <w:tr w:rsidR="005776EE" w14:paraId="093AA4CA" w14:textId="77777777" w:rsidTr="000E1801">
        <w:tc>
          <w:tcPr>
            <w:tcW w:w="1600" w:type="dxa"/>
            <w:tcBorders>
              <w:bottom w:val="single" w:sz="4" w:space="0" w:color="auto"/>
            </w:tcBorders>
            <w:tcMar>
              <w:top w:w="100" w:type="dxa"/>
              <w:left w:w="120" w:type="dxa"/>
              <w:bottom w:w="100" w:type="dxa"/>
              <w:right w:w="120" w:type="dxa"/>
            </w:tcMar>
          </w:tcPr>
          <w:p w14:paraId="3D225785" w14:textId="77777777" w:rsidR="005776EE" w:rsidRDefault="005776EE" w:rsidP="00BC7731">
            <w:pPr>
              <w:pStyle w:val="Tablecontent"/>
            </w:pPr>
            <w:r>
              <w:t>Collection</w:t>
            </w:r>
          </w:p>
        </w:tc>
        <w:tc>
          <w:tcPr>
            <w:tcW w:w="3713" w:type="dxa"/>
            <w:tcBorders>
              <w:bottom w:val="single" w:sz="4" w:space="0" w:color="auto"/>
            </w:tcBorders>
            <w:tcMar>
              <w:top w:w="100" w:type="dxa"/>
              <w:left w:w="120" w:type="dxa"/>
              <w:bottom w:w="100" w:type="dxa"/>
              <w:right w:w="120" w:type="dxa"/>
            </w:tcMar>
          </w:tcPr>
          <w:p w14:paraId="69846A59" w14:textId="77777777" w:rsidR="005776EE" w:rsidRDefault="005776EE" w:rsidP="00BC7731">
            <w:pPr>
              <w:pStyle w:val="Tablecontent"/>
            </w:pPr>
            <w:r>
              <w:t>Collect identity information and verify identity before providing designated services (customer due diligence)</w:t>
            </w:r>
          </w:p>
        </w:tc>
        <w:tc>
          <w:tcPr>
            <w:tcW w:w="3713" w:type="dxa"/>
            <w:tcBorders>
              <w:bottom w:val="single" w:sz="4" w:space="0" w:color="auto"/>
            </w:tcBorders>
            <w:tcMar>
              <w:top w:w="100" w:type="dxa"/>
              <w:left w:w="120" w:type="dxa"/>
              <w:bottom w:w="100" w:type="dxa"/>
              <w:right w:w="120" w:type="dxa"/>
            </w:tcMar>
          </w:tcPr>
          <w:p w14:paraId="17F0BACA" w14:textId="77777777" w:rsidR="005776EE" w:rsidRDefault="005776EE" w:rsidP="00BC7731">
            <w:pPr>
              <w:pStyle w:val="Tablecontent"/>
            </w:pPr>
            <w:r>
              <w:t>APP 3: Collect only what is reasonably necessary; APP 5: Notify individual of collection, purposes, disclosures</w:t>
            </w:r>
          </w:p>
        </w:tc>
      </w:tr>
      <w:tr w:rsidR="005776EE" w14:paraId="15E145FC" w14:textId="77777777" w:rsidTr="000E1801">
        <w:tc>
          <w:tcPr>
            <w:tcW w:w="1600" w:type="dxa"/>
            <w:tcBorders>
              <w:top w:val="single" w:sz="4" w:space="0" w:color="auto"/>
              <w:bottom w:val="single" w:sz="4" w:space="0" w:color="auto"/>
            </w:tcBorders>
            <w:tcMar>
              <w:top w:w="100" w:type="dxa"/>
              <w:left w:w="120" w:type="dxa"/>
              <w:bottom w:w="100" w:type="dxa"/>
              <w:right w:w="120" w:type="dxa"/>
            </w:tcMar>
          </w:tcPr>
          <w:p w14:paraId="29D07ED9" w14:textId="77777777" w:rsidR="005776EE" w:rsidRDefault="005776EE" w:rsidP="00BC7731">
            <w:pPr>
              <w:pStyle w:val="Tablecontent"/>
            </w:pPr>
            <w:r>
              <w:t>Use</w:t>
            </w:r>
          </w:p>
        </w:tc>
        <w:tc>
          <w:tcPr>
            <w:tcW w:w="3713" w:type="dxa"/>
            <w:tcBorders>
              <w:top w:val="single" w:sz="4" w:space="0" w:color="auto"/>
              <w:bottom w:val="single" w:sz="4" w:space="0" w:color="auto"/>
            </w:tcBorders>
            <w:tcMar>
              <w:top w:w="100" w:type="dxa"/>
              <w:left w:w="120" w:type="dxa"/>
              <w:bottom w:w="100" w:type="dxa"/>
              <w:right w:w="120" w:type="dxa"/>
            </w:tcMar>
          </w:tcPr>
          <w:p w14:paraId="3E9F1DC7" w14:textId="30E3A89E" w:rsidR="005776EE" w:rsidRDefault="005776EE" w:rsidP="00BC7731">
            <w:pPr>
              <w:pStyle w:val="Tablecontent"/>
            </w:pPr>
            <w:r>
              <w:t xml:space="preserve">Use information to verify identity, assess </w:t>
            </w:r>
            <w:r w:rsidR="007850EB">
              <w:t xml:space="preserve">transaction </w:t>
            </w:r>
            <w:r>
              <w:t>risk, monitor for suspicious activity</w:t>
            </w:r>
          </w:p>
        </w:tc>
        <w:tc>
          <w:tcPr>
            <w:tcW w:w="3713" w:type="dxa"/>
            <w:tcBorders>
              <w:top w:val="single" w:sz="4" w:space="0" w:color="auto"/>
              <w:bottom w:val="single" w:sz="4" w:space="0" w:color="auto"/>
            </w:tcBorders>
            <w:tcMar>
              <w:top w:w="100" w:type="dxa"/>
              <w:left w:w="120" w:type="dxa"/>
              <w:bottom w:w="100" w:type="dxa"/>
              <w:right w:w="120" w:type="dxa"/>
            </w:tcMar>
          </w:tcPr>
          <w:p w14:paraId="7946380D" w14:textId="77777777" w:rsidR="005776EE" w:rsidRDefault="005776EE" w:rsidP="00BC7731">
            <w:pPr>
              <w:pStyle w:val="Tablecontent"/>
            </w:pPr>
            <w:r>
              <w:t>APP 6: Use for primary purpose (AML/CTF compliance); secondary use only with exception</w:t>
            </w:r>
          </w:p>
        </w:tc>
      </w:tr>
      <w:tr w:rsidR="005776EE" w14:paraId="7C5C9F1B" w14:textId="77777777" w:rsidTr="000E1801">
        <w:tc>
          <w:tcPr>
            <w:tcW w:w="1600" w:type="dxa"/>
            <w:tcBorders>
              <w:top w:val="single" w:sz="4" w:space="0" w:color="auto"/>
              <w:bottom w:val="single" w:sz="4" w:space="0" w:color="auto"/>
            </w:tcBorders>
            <w:tcMar>
              <w:top w:w="100" w:type="dxa"/>
              <w:left w:w="120" w:type="dxa"/>
              <w:bottom w:w="100" w:type="dxa"/>
              <w:right w:w="120" w:type="dxa"/>
            </w:tcMar>
          </w:tcPr>
          <w:p w14:paraId="7E468060" w14:textId="77777777" w:rsidR="005776EE" w:rsidRDefault="005776EE" w:rsidP="00BC7731">
            <w:pPr>
              <w:pStyle w:val="Tablecontent"/>
            </w:pPr>
            <w:r>
              <w:t>Disclosure</w:t>
            </w:r>
          </w:p>
        </w:tc>
        <w:tc>
          <w:tcPr>
            <w:tcW w:w="3713" w:type="dxa"/>
            <w:tcBorders>
              <w:top w:val="single" w:sz="4" w:space="0" w:color="auto"/>
              <w:bottom w:val="single" w:sz="4" w:space="0" w:color="auto"/>
            </w:tcBorders>
            <w:tcMar>
              <w:top w:w="100" w:type="dxa"/>
              <w:left w:w="120" w:type="dxa"/>
              <w:bottom w:w="100" w:type="dxa"/>
              <w:right w:w="120" w:type="dxa"/>
            </w:tcMar>
          </w:tcPr>
          <w:p w14:paraId="71B7ED0A" w14:textId="77777777" w:rsidR="005776EE" w:rsidRDefault="005776EE" w:rsidP="00BC7731">
            <w:pPr>
              <w:pStyle w:val="Tablecontent"/>
            </w:pPr>
            <w:r>
              <w:t>Report suspicious matters to AUSTRAC; respond to compulsory notices</w:t>
            </w:r>
          </w:p>
        </w:tc>
        <w:tc>
          <w:tcPr>
            <w:tcW w:w="3713" w:type="dxa"/>
            <w:tcBorders>
              <w:top w:val="single" w:sz="4" w:space="0" w:color="auto"/>
              <w:bottom w:val="single" w:sz="4" w:space="0" w:color="auto"/>
            </w:tcBorders>
            <w:tcMar>
              <w:top w:w="100" w:type="dxa"/>
              <w:left w:w="120" w:type="dxa"/>
              <w:bottom w:w="100" w:type="dxa"/>
              <w:right w:w="120" w:type="dxa"/>
            </w:tcMar>
          </w:tcPr>
          <w:p w14:paraId="380D96BD" w14:textId="77777777" w:rsidR="005776EE" w:rsidRDefault="005776EE" w:rsidP="00BC7731">
            <w:pPr>
              <w:pStyle w:val="Tablecontent"/>
            </w:pPr>
            <w:r>
              <w:t>APP 6: Disclosure required by law is authorised; cannot 'tip off' client about SMR</w:t>
            </w:r>
          </w:p>
        </w:tc>
      </w:tr>
      <w:tr w:rsidR="005776EE" w14:paraId="6DA1F4E4" w14:textId="77777777" w:rsidTr="000E1801">
        <w:tc>
          <w:tcPr>
            <w:tcW w:w="1600" w:type="dxa"/>
            <w:tcBorders>
              <w:top w:val="single" w:sz="4" w:space="0" w:color="auto"/>
              <w:bottom w:val="single" w:sz="4" w:space="0" w:color="auto"/>
            </w:tcBorders>
            <w:tcMar>
              <w:top w:w="100" w:type="dxa"/>
              <w:left w:w="120" w:type="dxa"/>
              <w:bottom w:w="100" w:type="dxa"/>
              <w:right w:w="120" w:type="dxa"/>
            </w:tcMar>
          </w:tcPr>
          <w:p w14:paraId="0850D5D5" w14:textId="77777777" w:rsidR="005776EE" w:rsidRDefault="005776EE" w:rsidP="00BC7731">
            <w:pPr>
              <w:pStyle w:val="Tablecontent"/>
            </w:pPr>
            <w:r>
              <w:t>Storage</w:t>
            </w:r>
          </w:p>
        </w:tc>
        <w:tc>
          <w:tcPr>
            <w:tcW w:w="3713" w:type="dxa"/>
            <w:tcBorders>
              <w:top w:val="single" w:sz="4" w:space="0" w:color="auto"/>
              <w:bottom w:val="single" w:sz="4" w:space="0" w:color="auto"/>
            </w:tcBorders>
            <w:tcMar>
              <w:top w:w="100" w:type="dxa"/>
              <w:left w:w="120" w:type="dxa"/>
              <w:bottom w:w="100" w:type="dxa"/>
              <w:right w:w="120" w:type="dxa"/>
            </w:tcMar>
          </w:tcPr>
          <w:p w14:paraId="20280C25" w14:textId="77777777" w:rsidR="005776EE" w:rsidRDefault="005776EE" w:rsidP="00BC7731">
            <w:pPr>
              <w:pStyle w:val="Tablecontent"/>
            </w:pPr>
            <w:r>
              <w:t>Keep records secure and accessible for compliance purposes</w:t>
            </w:r>
          </w:p>
        </w:tc>
        <w:tc>
          <w:tcPr>
            <w:tcW w:w="3713" w:type="dxa"/>
            <w:tcBorders>
              <w:top w:val="single" w:sz="4" w:space="0" w:color="auto"/>
              <w:bottom w:val="single" w:sz="4" w:space="0" w:color="auto"/>
            </w:tcBorders>
            <w:tcMar>
              <w:top w:w="100" w:type="dxa"/>
              <w:left w:w="120" w:type="dxa"/>
              <w:bottom w:w="100" w:type="dxa"/>
              <w:right w:w="120" w:type="dxa"/>
            </w:tcMar>
          </w:tcPr>
          <w:p w14:paraId="3B66B106" w14:textId="77777777" w:rsidR="005776EE" w:rsidRDefault="005776EE" w:rsidP="00BC7731">
            <w:pPr>
              <w:pStyle w:val="Tablecontent"/>
            </w:pPr>
            <w:r>
              <w:t>APP 11: Take reasonable steps to protect from misuse, loss, unauthorised access</w:t>
            </w:r>
          </w:p>
        </w:tc>
      </w:tr>
      <w:tr w:rsidR="005776EE" w14:paraId="19B1EDD6" w14:textId="77777777" w:rsidTr="000E1801">
        <w:tc>
          <w:tcPr>
            <w:tcW w:w="1600" w:type="dxa"/>
            <w:tcBorders>
              <w:top w:val="single" w:sz="4" w:space="0" w:color="auto"/>
              <w:bottom w:val="single" w:sz="4" w:space="0" w:color="auto"/>
            </w:tcBorders>
            <w:tcMar>
              <w:top w:w="100" w:type="dxa"/>
              <w:left w:w="120" w:type="dxa"/>
              <w:bottom w:w="100" w:type="dxa"/>
              <w:right w:w="120" w:type="dxa"/>
            </w:tcMar>
          </w:tcPr>
          <w:p w14:paraId="793CB421" w14:textId="77777777" w:rsidR="005776EE" w:rsidRDefault="005776EE" w:rsidP="00BC7731">
            <w:pPr>
              <w:pStyle w:val="Tablecontent"/>
            </w:pPr>
            <w:r>
              <w:t>Retention</w:t>
            </w:r>
          </w:p>
        </w:tc>
        <w:tc>
          <w:tcPr>
            <w:tcW w:w="3713" w:type="dxa"/>
            <w:tcBorders>
              <w:top w:val="single" w:sz="4" w:space="0" w:color="auto"/>
              <w:bottom w:val="single" w:sz="4" w:space="0" w:color="auto"/>
            </w:tcBorders>
            <w:tcMar>
              <w:top w:w="100" w:type="dxa"/>
              <w:left w:w="120" w:type="dxa"/>
              <w:bottom w:w="100" w:type="dxa"/>
              <w:right w:w="120" w:type="dxa"/>
            </w:tcMar>
          </w:tcPr>
          <w:p w14:paraId="28D74602" w14:textId="77777777" w:rsidR="005776EE" w:rsidRDefault="005776EE" w:rsidP="00BC7731">
            <w:pPr>
              <w:pStyle w:val="Tablecontent"/>
            </w:pPr>
            <w:r>
              <w:t>Retain records for 7 years after relationship ends or transaction completes</w:t>
            </w:r>
          </w:p>
        </w:tc>
        <w:tc>
          <w:tcPr>
            <w:tcW w:w="3713" w:type="dxa"/>
            <w:tcBorders>
              <w:top w:val="single" w:sz="4" w:space="0" w:color="auto"/>
              <w:bottom w:val="single" w:sz="4" w:space="0" w:color="auto"/>
            </w:tcBorders>
            <w:tcMar>
              <w:top w:w="100" w:type="dxa"/>
              <w:left w:w="120" w:type="dxa"/>
              <w:bottom w:w="100" w:type="dxa"/>
              <w:right w:w="120" w:type="dxa"/>
            </w:tcMar>
          </w:tcPr>
          <w:p w14:paraId="65A5837B" w14:textId="48B3227C" w:rsidR="005776EE" w:rsidRDefault="005776EE" w:rsidP="00BC7731">
            <w:pPr>
              <w:pStyle w:val="Tablecontent"/>
            </w:pPr>
            <w:r>
              <w:t xml:space="preserve">APP 11.2: Destroy when no longer needed </w:t>
            </w:r>
            <w:r w:rsidR="003366DB">
              <w:t xml:space="preserve">, </w:t>
            </w:r>
            <w:r>
              <w:t xml:space="preserve">but AML/CTF </w:t>
            </w:r>
            <w:r w:rsidR="00AE1C80">
              <w:t xml:space="preserve">or other statutory </w:t>
            </w:r>
            <w:r>
              <w:t>retention requirement overrides</w:t>
            </w:r>
          </w:p>
        </w:tc>
      </w:tr>
      <w:tr w:rsidR="005776EE" w14:paraId="613B64A6" w14:textId="77777777" w:rsidTr="000E1801">
        <w:tc>
          <w:tcPr>
            <w:tcW w:w="1600" w:type="dxa"/>
            <w:tcBorders>
              <w:top w:val="single" w:sz="4" w:space="0" w:color="auto"/>
              <w:bottom w:val="single" w:sz="4" w:space="0" w:color="auto"/>
            </w:tcBorders>
            <w:tcMar>
              <w:top w:w="100" w:type="dxa"/>
              <w:left w:w="120" w:type="dxa"/>
              <w:bottom w:w="100" w:type="dxa"/>
              <w:right w:w="120" w:type="dxa"/>
            </w:tcMar>
          </w:tcPr>
          <w:p w14:paraId="59FDF0A6" w14:textId="77777777" w:rsidR="005776EE" w:rsidRDefault="005776EE" w:rsidP="00BC7731">
            <w:pPr>
              <w:pStyle w:val="Tablecontent"/>
            </w:pPr>
            <w:r>
              <w:t>Destruction</w:t>
            </w:r>
          </w:p>
        </w:tc>
        <w:tc>
          <w:tcPr>
            <w:tcW w:w="3713" w:type="dxa"/>
            <w:tcBorders>
              <w:top w:val="single" w:sz="4" w:space="0" w:color="auto"/>
              <w:bottom w:val="single" w:sz="4" w:space="0" w:color="auto"/>
            </w:tcBorders>
            <w:tcMar>
              <w:top w:w="100" w:type="dxa"/>
              <w:left w:w="120" w:type="dxa"/>
              <w:bottom w:w="100" w:type="dxa"/>
              <w:right w:w="120" w:type="dxa"/>
            </w:tcMar>
          </w:tcPr>
          <w:p w14:paraId="7E05FC33" w14:textId="77777777" w:rsidR="005776EE" w:rsidRDefault="005776EE" w:rsidP="00BC7731">
            <w:pPr>
              <w:pStyle w:val="Tablecontent"/>
            </w:pPr>
            <w:r>
              <w:t>May destroy after 7-year retention period (unless other requirements)</w:t>
            </w:r>
          </w:p>
        </w:tc>
        <w:tc>
          <w:tcPr>
            <w:tcW w:w="3713" w:type="dxa"/>
            <w:tcBorders>
              <w:top w:val="single" w:sz="4" w:space="0" w:color="auto"/>
              <w:bottom w:val="single" w:sz="4" w:space="0" w:color="auto"/>
            </w:tcBorders>
            <w:tcMar>
              <w:top w:w="100" w:type="dxa"/>
              <w:left w:w="120" w:type="dxa"/>
              <w:bottom w:w="100" w:type="dxa"/>
              <w:right w:w="120" w:type="dxa"/>
            </w:tcMar>
          </w:tcPr>
          <w:p w14:paraId="46A91FF2" w14:textId="77777777" w:rsidR="005776EE" w:rsidRDefault="005776EE" w:rsidP="00BC7731">
            <w:pPr>
              <w:pStyle w:val="Tablecontent"/>
            </w:pPr>
            <w:r>
              <w:t>APP 11.2: Destroy securely when no longer needed for any permitted purpose</w:t>
            </w:r>
          </w:p>
        </w:tc>
      </w:tr>
    </w:tbl>
    <w:p w14:paraId="6FB9DDF4" w14:textId="77777777" w:rsidR="001F3BAF" w:rsidRDefault="001F3BAF">
      <w:pPr>
        <w:spacing w:after="0"/>
        <w:rPr>
          <w:b/>
          <w:bCs/>
          <w:iCs/>
          <w:color w:val="0F2D52"/>
          <w:sz w:val="28"/>
          <w:szCs w:val="28"/>
        </w:rPr>
      </w:pPr>
      <w:bookmarkStart w:id="198" w:name="_Toc220069937"/>
      <w:bookmarkStart w:id="199" w:name="_Toc220655097"/>
      <w:r>
        <w:br w:type="page"/>
      </w:r>
    </w:p>
    <w:p w14:paraId="5F2E83B9" w14:textId="59551994" w:rsidR="005776EE" w:rsidRDefault="005776EE" w:rsidP="00A30EAA">
      <w:pPr>
        <w:pStyle w:val="NumberedHeading2"/>
      </w:pPr>
      <w:bookmarkStart w:id="200" w:name="_Toc231895182"/>
      <w:r>
        <w:lastRenderedPageBreak/>
        <w:t>Customer Due Diligence and Privacy</w:t>
      </w:r>
      <w:bookmarkEnd w:id="198"/>
      <w:bookmarkEnd w:id="199"/>
      <w:bookmarkEnd w:id="200"/>
    </w:p>
    <w:p w14:paraId="168031EB" w14:textId="6771544A" w:rsidR="005776EE" w:rsidRDefault="005776EE" w:rsidP="00A30EAA">
      <w:pPr>
        <w:pStyle w:val="Body"/>
      </w:pPr>
      <w:r>
        <w:t>Customer due diligence (CDD) is the process of identifying and verifying the identity of customers</w:t>
      </w:r>
      <w:r w:rsidR="00D7147E">
        <w:t xml:space="preserve"> and ultimate beneficial owners</w:t>
      </w:r>
      <w:r>
        <w:t xml:space="preserve"> before providing designated services.</w:t>
      </w:r>
      <w:r>
        <w:rPr>
          <w:rStyle w:val="FootnoteReference"/>
        </w:rPr>
        <w:footnoteReference w:id="102"/>
      </w:r>
      <w:r>
        <w:t xml:space="preserve"> </w:t>
      </w:r>
      <w:r w:rsidR="00D93E18">
        <w:t xml:space="preserve">CDD </w:t>
      </w:r>
      <w:r>
        <w:t xml:space="preserve">involves </w:t>
      </w:r>
      <w:r w:rsidR="00D93E18">
        <w:t>verifying identity although it is not restricted to that.</w:t>
      </w:r>
      <w:r w:rsidR="00D434AD">
        <w:rPr>
          <w:rStyle w:val="FootnoteReference"/>
        </w:rPr>
        <w:footnoteReference w:id="103"/>
      </w:r>
      <w:r w:rsidR="00D93E18">
        <w:t xml:space="preserve"> </w:t>
      </w:r>
      <w:r w:rsidR="001F34E0">
        <w:t>It will usually involve</w:t>
      </w:r>
      <w:r w:rsidR="00D93E18">
        <w:t xml:space="preserve"> </w:t>
      </w:r>
      <w:r>
        <w:t>collecting personal information including name, date of birth, and address, and verifying that information using reliable documents (such as driver's licence or passport) or electronic verification.</w:t>
      </w:r>
      <w:r>
        <w:rPr>
          <w:rStyle w:val="FootnoteReference"/>
        </w:rPr>
        <w:footnoteReference w:id="104"/>
      </w:r>
      <w:r w:rsidR="00D93E18">
        <w:t xml:space="preserve"> </w:t>
      </w:r>
    </w:p>
    <w:p w14:paraId="4F07B274" w14:textId="77777777" w:rsidR="005776EE" w:rsidRDefault="005776EE" w:rsidP="00973158">
      <w:pPr>
        <w:pStyle w:val="Heading3"/>
      </w:pPr>
      <w:bookmarkStart w:id="201" w:name="_Toc220069938"/>
      <w:r>
        <w:t>Privacy compliance during CDD</w:t>
      </w:r>
      <w:bookmarkEnd w:id="201"/>
    </w:p>
    <w:p w14:paraId="7555DAD0" w14:textId="77777777" w:rsidR="005776EE" w:rsidRDefault="005776EE" w:rsidP="00A30EAA">
      <w:pPr>
        <w:pStyle w:val="Body"/>
      </w:pPr>
      <w:r>
        <w:t>When conducting CDD, the following privacy requirements apply:</w:t>
      </w:r>
    </w:p>
    <w:p w14:paraId="79B8531F" w14:textId="77777777" w:rsidR="005776EE" w:rsidRDefault="005776EE" w:rsidP="00A30EAA">
      <w:pPr>
        <w:pStyle w:val="Body"/>
      </w:pPr>
      <w:r>
        <w:rPr>
          <w:b/>
          <w:bCs/>
        </w:rPr>
        <w:t xml:space="preserve">Collection is authorised: </w:t>
      </w:r>
      <w:r>
        <w:t>Collection of identity information for CDD purposes is required by the AML/CTF Act. This means collection is 'required or authorised by or under an Australian law', which satisfies APP 3.4.</w:t>
      </w:r>
      <w:r>
        <w:rPr>
          <w:rStyle w:val="FootnoteReference"/>
        </w:rPr>
        <w:footnoteReference w:id="105"/>
      </w:r>
    </w:p>
    <w:p w14:paraId="2F59CC51" w14:textId="77777777" w:rsidR="005776EE" w:rsidRDefault="005776EE" w:rsidP="00A30EAA">
      <w:pPr>
        <w:pStyle w:val="Body"/>
      </w:pPr>
      <w:r>
        <w:rPr>
          <w:b/>
          <w:bCs/>
        </w:rPr>
        <w:t xml:space="preserve">Notification is required: </w:t>
      </w:r>
      <w:r>
        <w:t>APP 5 still requires notification of collection. The collection notice must explain that collection is required by law, the law requiring it (AML/CTF Act), and the purposes of collection. The Collection Notice Template for Designated Services (Document 02, Template B) addresses this.</w:t>
      </w:r>
    </w:p>
    <w:p w14:paraId="2300033D" w14:textId="77777777" w:rsidR="005776EE" w:rsidRDefault="005776EE" w:rsidP="00A30EAA">
      <w:pPr>
        <w:pStyle w:val="Body"/>
      </w:pPr>
      <w:r>
        <w:rPr>
          <w:b/>
          <w:bCs/>
        </w:rPr>
        <w:t xml:space="preserve">Sensitive information may be collected: </w:t>
      </w:r>
      <w:r>
        <w:t xml:space="preserve">CDD may require collecting sensitive information, such as information about politically exposed person status. Where collection is </w:t>
      </w:r>
      <w:r w:rsidRPr="00B84421">
        <w:rPr>
          <w:i/>
          <w:iCs/>
        </w:rPr>
        <w:t>required</w:t>
      </w:r>
      <w:r>
        <w:t xml:space="preserve"> by law, consent is not required, but the collection notice should explain that sensitive information is being collected.</w:t>
      </w:r>
      <w:r>
        <w:rPr>
          <w:rStyle w:val="FootnoteReference"/>
        </w:rPr>
        <w:footnoteReference w:id="106"/>
      </w:r>
    </w:p>
    <w:p w14:paraId="5288FD65" w14:textId="77777777" w:rsidR="005776EE" w:rsidRDefault="005776EE" w:rsidP="00A30EAA">
      <w:pPr>
        <w:pStyle w:val="Body"/>
      </w:pPr>
      <w:r>
        <w:rPr>
          <w:b/>
          <w:bCs/>
        </w:rPr>
        <w:t xml:space="preserve">Anonymity exception applies: </w:t>
      </w:r>
      <w:r>
        <w:t>APP 2 generally requires entities to give individuals the option of anonymity or pseudonymity.</w:t>
      </w:r>
      <w:r>
        <w:rPr>
          <w:rStyle w:val="FootnoteReference"/>
        </w:rPr>
        <w:footnoteReference w:id="107"/>
      </w:r>
      <w:r>
        <w:t xml:space="preserve"> However, this does not apply where the entity is required by law to deal with identified individuals</w:t>
      </w:r>
      <w:r>
        <w:rPr>
          <w:rStyle w:val="FootnoteReference"/>
        </w:rPr>
        <w:footnoteReference w:id="108"/>
      </w:r>
      <w:r>
        <w:t xml:space="preserve"> — as is the case for CDD.</w:t>
      </w:r>
    </w:p>
    <w:p w14:paraId="6C6DFB68" w14:textId="5A88AADC" w:rsidR="005776EE" w:rsidRDefault="005776EE" w:rsidP="00A30EAA">
      <w:pPr>
        <w:pStyle w:val="NumberedHeading2"/>
      </w:pPr>
      <w:bookmarkStart w:id="202" w:name="_Toc220069939"/>
      <w:bookmarkStart w:id="203" w:name="_Toc220655098"/>
      <w:bookmarkStart w:id="204" w:name="_Toc231895183"/>
      <w:r>
        <w:t>Beneficial Ownership Information</w:t>
      </w:r>
      <w:bookmarkEnd w:id="202"/>
      <w:bookmarkEnd w:id="203"/>
      <w:bookmarkEnd w:id="204"/>
    </w:p>
    <w:p w14:paraId="5252BE50" w14:textId="5FB7E269" w:rsidR="005776EE" w:rsidRDefault="005776EE" w:rsidP="00A30EAA">
      <w:pPr>
        <w:pStyle w:val="Body"/>
      </w:pPr>
      <w:r>
        <w:t>For corporate and trust clients AML/CTF compliance requires identifying beneficial owners</w:t>
      </w:r>
      <w:r w:rsidR="003366DB">
        <w:t xml:space="preserve">, </w:t>
      </w:r>
      <w:r>
        <w:t>the individuals who ultimately own or control the entity. This involves collecting personal information about people who may not be the direct client of the firm.</w:t>
      </w:r>
    </w:p>
    <w:p w14:paraId="4B5BF4E1" w14:textId="77777777" w:rsidR="005776EE" w:rsidRDefault="005776EE" w:rsidP="00973158">
      <w:pPr>
        <w:pStyle w:val="Heading3"/>
      </w:pPr>
      <w:bookmarkStart w:id="205" w:name="_Toc220069940"/>
      <w:r>
        <w:t>Privacy obligations to beneficial owners</w:t>
      </w:r>
      <w:bookmarkEnd w:id="205"/>
    </w:p>
    <w:p w14:paraId="21CE3235" w14:textId="77777777" w:rsidR="005776EE" w:rsidRDefault="005776EE" w:rsidP="00A30EAA">
      <w:pPr>
        <w:pStyle w:val="Body"/>
      </w:pPr>
      <w:r>
        <w:t>Beneficial owners are individuals about whom personal information is collected. They have privacy rights even though they may not be the firm's direct client. Key obligations include:</w:t>
      </w:r>
    </w:p>
    <w:p w14:paraId="7E68E641" w14:textId="77777777" w:rsidR="005776EE" w:rsidRDefault="005776EE" w:rsidP="00A30EAA">
      <w:pPr>
        <w:pStyle w:val="Body"/>
      </w:pPr>
      <w:r>
        <w:rPr>
          <w:b/>
          <w:bCs/>
        </w:rPr>
        <w:t xml:space="preserve">Notification: </w:t>
      </w:r>
      <w:r>
        <w:t>APP 5 requires notification of collection. Where information is collected from a third party (such as from company records or the direct client), the notice must explain that fact. The Collection Notice Template for Beneficial Owners (Document 02, Template D) addresses this.</w:t>
      </w:r>
    </w:p>
    <w:p w14:paraId="19564500" w14:textId="73418C6F" w:rsidR="005776EE" w:rsidRDefault="005776EE" w:rsidP="00A30EAA">
      <w:pPr>
        <w:pStyle w:val="Body"/>
      </w:pPr>
      <w:r>
        <w:rPr>
          <w:b/>
          <w:bCs/>
        </w:rPr>
        <w:t xml:space="preserve">Access rights: </w:t>
      </w:r>
      <w:r>
        <w:t>Beneficial owners have rights under APP 12 to request access to personal information the firm holds about them</w:t>
      </w:r>
      <w:r w:rsidR="00316D3D">
        <w:t xml:space="preserve"> </w:t>
      </w:r>
    </w:p>
    <w:p w14:paraId="1DA1CE5E" w14:textId="77777777" w:rsidR="005776EE" w:rsidRDefault="005776EE" w:rsidP="00A30EAA">
      <w:pPr>
        <w:pStyle w:val="Body"/>
      </w:pPr>
      <w:r>
        <w:rPr>
          <w:b/>
          <w:bCs/>
        </w:rPr>
        <w:t xml:space="preserve">Correction rights: </w:t>
      </w:r>
      <w:r>
        <w:t>Beneficial owners have rights under APP 13 to request correction of inaccurate information.</w:t>
      </w:r>
    </w:p>
    <w:p w14:paraId="6376BCEB" w14:textId="081B76D3" w:rsidR="005776EE" w:rsidRDefault="005776EE" w:rsidP="00A30EAA">
      <w:pPr>
        <w:pStyle w:val="Body"/>
      </w:pPr>
      <w:r>
        <w:t>Practically, this means the firm should ensure that beneficial owners receive a collection notice (which can be provided via the corporate client) and are aware they can contact the firm regarding their personal information</w:t>
      </w:r>
      <w:r w:rsidR="00845303" w:rsidRPr="00845303">
        <w:t xml:space="preserve"> </w:t>
      </w:r>
      <w:r w:rsidR="00845303">
        <w:t>- subject to the exceptions set out in Chapter 8 (commentary on APP 12 and 13)</w:t>
      </w:r>
    </w:p>
    <w:p w14:paraId="77104392" w14:textId="77777777" w:rsidR="00B26822" w:rsidRDefault="00B26822">
      <w:pPr>
        <w:spacing w:after="0"/>
        <w:rPr>
          <w:b/>
          <w:color w:val="0F2D52"/>
          <w:sz w:val="28"/>
        </w:rPr>
      </w:pPr>
      <w:bookmarkStart w:id="206" w:name="_Toc220069941"/>
      <w:bookmarkStart w:id="207" w:name="_Toc220655099"/>
      <w:r>
        <w:br w:type="page"/>
      </w:r>
    </w:p>
    <w:p w14:paraId="5D3A7C3B" w14:textId="2FE4C96E" w:rsidR="005776EE" w:rsidRDefault="005776EE" w:rsidP="00A30EAA">
      <w:pPr>
        <w:pStyle w:val="NumberedHeading2"/>
      </w:pPr>
      <w:bookmarkStart w:id="208" w:name="_Toc231895184"/>
      <w:r>
        <w:lastRenderedPageBreak/>
        <w:t>Suspicious Matter Reporting and Confidentiality</w:t>
      </w:r>
      <w:bookmarkEnd w:id="206"/>
      <w:bookmarkEnd w:id="207"/>
      <w:bookmarkEnd w:id="208"/>
    </w:p>
    <w:p w14:paraId="04A1BC8E" w14:textId="0A92D715" w:rsidR="00F23263" w:rsidRDefault="005776EE" w:rsidP="00A30EAA">
      <w:pPr>
        <w:pStyle w:val="Body"/>
      </w:pPr>
      <w:r>
        <w:t>The AML/CTF Act requires reporting entities to report suspicious matters to AUSTRAC. Importantly, the Act also prohibits 'tipping off'</w:t>
      </w:r>
      <w:r w:rsidR="003366DB">
        <w:t xml:space="preserve">, </w:t>
      </w:r>
      <w:r>
        <w:t>informing anyone that a report has been or may be made.</w:t>
      </w:r>
      <w:r>
        <w:rPr>
          <w:rStyle w:val="FootnoteReference"/>
        </w:rPr>
        <w:footnoteReference w:id="109"/>
      </w:r>
      <w:r w:rsidR="00F23263">
        <w:t xml:space="preserve"> A full </w:t>
      </w:r>
      <w:r w:rsidR="003C3391">
        <w:t>analysis of the interaction between SMR reporting and confidentiality/privilege is beyond the scope of this guide.</w:t>
      </w:r>
    </w:p>
    <w:p w14:paraId="0EA1D903" w14:textId="05CD6D98" w:rsidR="005776EE" w:rsidRDefault="003C3391" w:rsidP="003366DB">
      <w:pPr>
        <w:pStyle w:val="Body"/>
      </w:pPr>
      <w:r>
        <w:t>Reporting client information without telling them</w:t>
      </w:r>
      <w:r w:rsidR="005776EE">
        <w:t xml:space="preserve"> creates an apparent tension with both professional confidentiality and privacy obligations. However, the legal framework provides authorisation:</w:t>
      </w:r>
    </w:p>
    <w:p w14:paraId="720EF199" w14:textId="77777777" w:rsidR="005776EE" w:rsidRDefault="005776EE" w:rsidP="00A30EAA">
      <w:pPr>
        <w:pStyle w:val="Body"/>
      </w:pPr>
      <w:r>
        <w:rPr>
          <w:b/>
          <w:bCs/>
        </w:rPr>
        <w:t xml:space="preserve">Privacy: </w:t>
      </w:r>
      <w:r>
        <w:t>APP 6.2(b) permits disclosure that is 'required or authorised by or under an Australian law'. Suspicious matter reporting is required by the AML/CTF Act, so disclosure to AUSTRAC is authorised under the APPs.</w:t>
      </w:r>
      <w:r>
        <w:rPr>
          <w:rStyle w:val="FootnoteReference"/>
        </w:rPr>
        <w:footnoteReference w:id="110"/>
      </w:r>
    </w:p>
    <w:p w14:paraId="42576C8C" w14:textId="1FE1F520" w:rsidR="005776EE" w:rsidRDefault="005776EE" w:rsidP="00A30EAA">
      <w:pPr>
        <w:pStyle w:val="Body"/>
      </w:pPr>
      <w:r>
        <w:rPr>
          <w:b/>
          <w:bCs/>
        </w:rPr>
        <w:t xml:space="preserve">Confidentiality: </w:t>
      </w:r>
      <w:r>
        <w:t>ASCR Rule 9.2.1 permits disclosure where the solicitor is 'compelled by law to disclose'. Suspicious matter reporting is required by law, so disclosure is permitted under the confidentiality rules.</w:t>
      </w:r>
      <w:r>
        <w:rPr>
          <w:rStyle w:val="FootnoteReference"/>
        </w:rPr>
        <w:footnoteReference w:id="111"/>
      </w:r>
      <w:r w:rsidR="00C34920">
        <w:t xml:space="preserve"> Most Law Societies / Institutes have concluded that having submitted an SMR it would be inappropriate to continue to act for a client, although </w:t>
      </w:r>
      <w:r w:rsidR="00212D57">
        <w:t>terminating the retainer without telling the client why is not easy.</w:t>
      </w:r>
    </w:p>
    <w:p w14:paraId="15A90130" w14:textId="53CF7F31" w:rsidR="009E3DFF" w:rsidRPr="00EF3B29" w:rsidRDefault="009E3DFF" w:rsidP="00A30EAA">
      <w:pPr>
        <w:pStyle w:val="Body"/>
      </w:pPr>
      <w:r w:rsidRPr="00EF3B29">
        <w:t xml:space="preserve">The SMR </w:t>
      </w:r>
      <w:r w:rsidR="00660507" w:rsidRPr="00EF3B29">
        <w:t xml:space="preserve">provision preserves legal professional privilege, so only some information can be disclosed to authorities. </w:t>
      </w:r>
      <w:r w:rsidR="00EF3B29">
        <w:rPr>
          <w:rStyle w:val="FootnoteReference"/>
          <w:b/>
          <w:bCs/>
          <w:color w:val="FF0000"/>
        </w:rPr>
        <w:footnoteReference w:id="11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776EE" w14:paraId="151D8CE5" w14:textId="77777777" w:rsidTr="000A5069">
        <w:tc>
          <w:tcPr>
            <w:tcW w:w="9026" w:type="dxa"/>
            <w:tcBorders>
              <w:top w:val="nil"/>
              <w:left w:val="nil"/>
              <w:bottom w:val="nil"/>
              <w:right w:val="nil"/>
            </w:tcBorders>
            <w:shd w:val="clear" w:color="auto" w:fill="FFF3CD"/>
            <w:tcMar>
              <w:top w:w="160" w:type="dxa"/>
              <w:left w:w="200" w:type="dxa"/>
              <w:bottom w:w="160" w:type="dxa"/>
              <w:right w:w="200" w:type="dxa"/>
            </w:tcMar>
          </w:tcPr>
          <w:p w14:paraId="2EEC1B57" w14:textId="77777777" w:rsidR="005776EE" w:rsidRPr="000A5069" w:rsidRDefault="005776EE" w:rsidP="00A30EAA">
            <w:pPr>
              <w:pStyle w:val="Body"/>
              <w:rPr>
                <w:rStyle w:val="Strong"/>
              </w:rPr>
            </w:pPr>
            <w:r w:rsidRPr="000A5069">
              <w:rPr>
                <w:rStyle w:val="Strong"/>
              </w:rPr>
              <w:t>Critical: Tipping Off Prohibition</w:t>
            </w:r>
          </w:p>
          <w:p w14:paraId="4DE82097" w14:textId="77777777" w:rsidR="00212D57" w:rsidRDefault="005776EE" w:rsidP="00A30EAA">
            <w:pPr>
              <w:pStyle w:val="Body"/>
            </w:pPr>
            <w:r>
              <w:t>The tipping off prohibition is strict. Do not inform the client (or anyone else</w:t>
            </w:r>
            <w:r w:rsidR="00212D57">
              <w:t xml:space="preserve"> other than a confidential advisor such as the QLS Ethics Centre</w:t>
            </w:r>
            <w:r>
              <w:t xml:space="preserve">) that you have made, or are considering making, a suspicious matter report. </w:t>
            </w:r>
          </w:p>
          <w:p w14:paraId="2F4AFA6D" w14:textId="77777777" w:rsidR="003366DB" w:rsidRDefault="005776EE" w:rsidP="00A30EAA">
            <w:pPr>
              <w:pStyle w:val="Body"/>
            </w:pPr>
            <w:r>
              <w:t xml:space="preserve">Do not include any reference to suspicious matter reports in client communications, file notes that might be disclosed, or privacy-related notifications. </w:t>
            </w:r>
          </w:p>
          <w:p w14:paraId="4C1F177D" w14:textId="37FBDACD" w:rsidR="003366DB" w:rsidRPr="003366DB" w:rsidRDefault="003366DB" w:rsidP="00A30EAA">
            <w:pPr>
              <w:pStyle w:val="Body"/>
              <w:rPr>
                <w:b/>
                <w:bCs/>
                <w:color w:val="FF0000"/>
              </w:rPr>
            </w:pPr>
            <w:r w:rsidRPr="003366DB">
              <w:rPr>
                <w:b/>
                <w:bCs/>
                <w:color w:val="FF0000"/>
              </w:rPr>
              <w:t>Ensure your record keeping processes ensure that discussions and file notes concerning the decision to make an SMR are not captured on the client file or are billed to the client.</w:t>
            </w:r>
          </w:p>
          <w:p w14:paraId="32E1A256" w14:textId="1D1E5260" w:rsidR="009E3DFF" w:rsidRDefault="005776EE" w:rsidP="00A30EAA">
            <w:pPr>
              <w:pStyle w:val="Body"/>
            </w:pPr>
            <w:r>
              <w:t>If a client makes an access request under APP 12 for their personal information, the firm may refuse to disclose information to the extent that disclosure would reveal the existence of a suspicious matter report.</w:t>
            </w:r>
            <w:r w:rsidR="00835989">
              <w:t xml:space="preserve"> – although of course the response could not specify that.</w:t>
            </w:r>
          </w:p>
        </w:tc>
      </w:tr>
    </w:tbl>
    <w:p w14:paraId="4EDD6C3B" w14:textId="64F852B9" w:rsidR="005776EE" w:rsidRDefault="005776EE" w:rsidP="00A30EAA">
      <w:pPr>
        <w:pStyle w:val="NumberedHeading2"/>
      </w:pPr>
      <w:bookmarkStart w:id="209" w:name="_Toc220069942"/>
      <w:bookmarkStart w:id="210" w:name="_Toc220655100"/>
      <w:bookmarkStart w:id="211" w:name="_Toc231895185"/>
      <w:r>
        <w:t>Record Retention: Aligning</w:t>
      </w:r>
      <w:r w:rsidR="00612EF5">
        <w:t xml:space="preserve"> </w:t>
      </w:r>
      <w:r>
        <w:t>Requirements</w:t>
      </w:r>
      <w:bookmarkEnd w:id="209"/>
      <w:bookmarkEnd w:id="210"/>
      <w:bookmarkEnd w:id="211"/>
    </w:p>
    <w:p w14:paraId="1F8DFB70" w14:textId="77777777" w:rsidR="005776EE" w:rsidRDefault="005776EE" w:rsidP="00A30EAA">
      <w:pPr>
        <w:pStyle w:val="Body"/>
      </w:pPr>
      <w:r>
        <w:t>The AML/CTF Act requires reporting entities to retain CDD records and transaction records for seven years after the end of the customer relationship or the transaction, whichever is later.</w:t>
      </w:r>
      <w:r>
        <w:rPr>
          <w:rStyle w:val="FootnoteReference"/>
        </w:rPr>
        <w:footnoteReference w:id="113"/>
      </w:r>
      <w:r>
        <w:t xml:space="preserve"> This retention requirement overrides the general APP 11.2 obligation to destroy information when no longer needed.</w:t>
      </w:r>
    </w:p>
    <w:p w14:paraId="46C231E3" w14:textId="24168A1C" w:rsidR="00EF553E" w:rsidRDefault="00EF553E" w:rsidP="00A30EAA">
      <w:pPr>
        <w:pStyle w:val="Body"/>
      </w:pPr>
      <w:r>
        <w:t>OAIC Guidance</w:t>
      </w:r>
      <w:r w:rsidR="004A5CD7">
        <w:rPr>
          <w:rStyle w:val="FootnoteReference"/>
        </w:rPr>
        <w:footnoteReference w:id="114"/>
      </w:r>
      <w:r>
        <w:t xml:space="preserve"> </w:t>
      </w:r>
      <w:r w:rsidR="00D35957">
        <w:t xml:space="preserve">suggests that full copies of </w:t>
      </w:r>
      <w:r w:rsidR="00E461E6">
        <w:t>driver’s</w:t>
      </w:r>
      <w:r w:rsidR="00D35957">
        <w:t xml:space="preserve"> licenses &amp; passports NOT be retained. </w:t>
      </w:r>
      <w:r w:rsidR="00FD040F">
        <w:t xml:space="preserve">In contrast, </w:t>
      </w:r>
      <w:r w:rsidR="00D35957">
        <w:t>ARNECC</w:t>
      </w:r>
      <w:r w:rsidR="0039369D">
        <w:t xml:space="preserve">’s Safe Harbour VOI regime requires </w:t>
      </w:r>
      <w:r w:rsidR="00782537">
        <w:t>retention of imaged copies.</w:t>
      </w:r>
      <w:r w:rsidR="00782537">
        <w:rPr>
          <w:rStyle w:val="FootnoteReference"/>
        </w:rPr>
        <w:footnoteReference w:id="115"/>
      </w:r>
      <w:r w:rsidR="009430A2">
        <w:t xml:space="preserve"> This contradiction is unsatisfactory and the QLS and Law Council of Australia have requested that urgent attention be given to harmonizing these obligations. </w:t>
      </w:r>
    </w:p>
    <w:p w14:paraId="24F3AFA9" w14:textId="77777777" w:rsidR="005776EE" w:rsidRDefault="005776EE" w:rsidP="00A30EAA">
      <w:pPr>
        <w:pStyle w:val="Body"/>
      </w:pPr>
      <w:r>
        <w:t>The Data Retention Schedule (Document 04) aligns AML/CTF, Privacy Act, Legal Profession Act, and other retention requirements into a single framework. Key points:</w:t>
      </w:r>
    </w:p>
    <w:p w14:paraId="33A6B42C" w14:textId="49ADF9D2" w:rsidR="005776EE" w:rsidRPr="007E650E" w:rsidRDefault="005776EE" w:rsidP="00A30EAA">
      <w:pPr>
        <w:pStyle w:val="ListParagraph"/>
      </w:pPr>
      <w:r w:rsidRPr="007E650E">
        <w:t>CDD/KYC records: 7 years after relationship ends (AML/CTF Act)</w:t>
      </w:r>
    </w:p>
    <w:p w14:paraId="1D5AC44B" w14:textId="084AD9A4" w:rsidR="005776EE" w:rsidRPr="007E650E" w:rsidRDefault="005776EE" w:rsidP="00A30EAA">
      <w:pPr>
        <w:pStyle w:val="ListParagraph"/>
      </w:pPr>
      <w:r w:rsidRPr="007E650E">
        <w:t>Transaction records: 7 years after transaction (AML/CTF Act)</w:t>
      </w:r>
    </w:p>
    <w:p w14:paraId="3E292F96" w14:textId="778B0BB7" w:rsidR="005776EE" w:rsidRPr="007E650E" w:rsidRDefault="005776EE" w:rsidP="00A30EAA">
      <w:pPr>
        <w:pStyle w:val="ListParagraph"/>
      </w:pPr>
      <w:r w:rsidRPr="007E650E">
        <w:lastRenderedPageBreak/>
        <w:t>Trust account records: 7 years (Legal Profession Act)</w:t>
      </w:r>
    </w:p>
    <w:p w14:paraId="4D136C20" w14:textId="48FD1222" w:rsidR="005776EE" w:rsidRPr="007E650E" w:rsidRDefault="005776EE" w:rsidP="00A30EAA">
      <w:pPr>
        <w:pStyle w:val="ListParagraph"/>
      </w:pPr>
      <w:r w:rsidRPr="007E650E">
        <w:t>Client files generally: 7 years recommended (longer</w:t>
      </w:r>
      <w:r w:rsidR="00071E2B" w:rsidRPr="007E650E">
        <w:t xml:space="preserve"> – potentially much longer -</w:t>
      </w:r>
      <w:r w:rsidRPr="007E650E">
        <w:t xml:space="preserve"> for certain matters)</w:t>
      </w:r>
    </w:p>
    <w:p w14:paraId="0EE0E64C" w14:textId="1F5B0205" w:rsidR="00612EF5" w:rsidRPr="007E650E" w:rsidRDefault="00612EF5" w:rsidP="00A30EAA">
      <w:pPr>
        <w:pStyle w:val="ListParagraph"/>
      </w:pPr>
      <w:r w:rsidRPr="007E650E">
        <w:t xml:space="preserve">Safe custody: </w:t>
      </w:r>
      <w:r w:rsidR="00206612" w:rsidRPr="007E650E">
        <w:t>potentially</w:t>
      </w:r>
      <w:r w:rsidRPr="007E650E">
        <w:t xml:space="preserve"> indefinite, subject to specific retention mandates and </w:t>
      </w:r>
      <w:r w:rsidR="00206612" w:rsidRPr="007E650E">
        <w:t>the Legal Profession Act (Qld)</w:t>
      </w:r>
    </w:p>
    <w:p w14:paraId="67C65601" w14:textId="77777777" w:rsidR="00916392" w:rsidRDefault="005776EE" w:rsidP="00A30EAA">
      <w:pPr>
        <w:pStyle w:val="Body"/>
      </w:pPr>
      <w:r>
        <w:t>After the applicable retention period, information should be securely destroyed in accordance with APP 11.2</w:t>
      </w:r>
      <w:r w:rsidR="00916392">
        <w:t xml:space="preserve"> and your retainer.</w:t>
      </w:r>
      <w:r w:rsidR="00B515A9">
        <w:t xml:space="preserve"> </w:t>
      </w:r>
    </w:p>
    <w:p w14:paraId="7D27F145" w14:textId="3EDE453F" w:rsidR="005776EE" w:rsidRDefault="00B515A9" w:rsidP="00A30EAA">
      <w:pPr>
        <w:pStyle w:val="Body"/>
      </w:pPr>
      <w:r>
        <w:t>Note tha</w:t>
      </w:r>
      <w:r w:rsidR="0051555A">
        <w:t xml:space="preserve">t components of the file which are the client’s property cannot be destroyed without Client’s consent or the procedure in S. </w:t>
      </w:r>
      <w:r w:rsidR="009A2249">
        <w:t>713A of the Legal Profession Act (Qld) followed.</w:t>
      </w:r>
      <w:r w:rsidR="00671F80">
        <w:rPr>
          <w:rStyle w:val="FootnoteReference"/>
        </w:rPr>
        <w:footnoteReference w:id="116"/>
      </w:r>
    </w:p>
    <w:tbl>
      <w:tblPr>
        <w:tblW w:w="5000" w:type="pct"/>
        <w:tblCellMar>
          <w:left w:w="10" w:type="dxa"/>
          <w:right w:w="10" w:type="dxa"/>
        </w:tblCellMar>
        <w:tblLook w:val="04A0" w:firstRow="1" w:lastRow="0" w:firstColumn="1" w:lastColumn="0" w:noHBand="0" w:noVBand="1"/>
      </w:tblPr>
      <w:tblGrid>
        <w:gridCol w:w="9026"/>
      </w:tblGrid>
      <w:tr w:rsidR="005776EE" w14:paraId="1E02A69C" w14:textId="77777777" w:rsidTr="001F3BAF">
        <w:tc>
          <w:tcPr>
            <w:tcW w:w="9026" w:type="dxa"/>
            <w:shd w:val="clear" w:color="auto" w:fill="D4EDDA"/>
            <w:tcMar>
              <w:top w:w="160" w:type="dxa"/>
              <w:left w:w="200" w:type="dxa"/>
              <w:bottom w:w="160" w:type="dxa"/>
              <w:right w:w="200" w:type="dxa"/>
            </w:tcMar>
          </w:tcPr>
          <w:p w14:paraId="005FE89E" w14:textId="77777777" w:rsidR="005776EE" w:rsidRPr="007E650E" w:rsidRDefault="005776EE" w:rsidP="00A30EAA">
            <w:pPr>
              <w:pStyle w:val="Body"/>
              <w:rPr>
                <w:rStyle w:val="Strong"/>
              </w:rPr>
            </w:pPr>
            <w:r w:rsidRPr="007E650E">
              <w:rPr>
                <w:rStyle w:val="Strong"/>
              </w:rPr>
              <w:t>Key Takeaways — Chapters 7, 8 and 9</w:t>
            </w:r>
          </w:p>
          <w:p w14:paraId="7A6BB54F" w14:textId="5CB1ECB0" w:rsidR="005776EE" w:rsidRDefault="005776EE" w:rsidP="00A30EAA">
            <w:pPr>
              <w:pStyle w:val="ListParagraph"/>
            </w:pPr>
            <w:r>
              <w:t>The 13 APPs govern the complete lifecycle of personal information: governance, collection, use/disclosure, quality/security, and individual rights.</w:t>
            </w:r>
          </w:p>
          <w:p w14:paraId="11179595" w14:textId="73DC122B" w:rsidR="005776EE" w:rsidRDefault="005776EE" w:rsidP="00A30EAA">
            <w:pPr>
              <w:pStyle w:val="ListParagraph"/>
            </w:pPr>
            <w:r>
              <w:t>'Reasonable steps' is a flexible standard — what is reasonable depends on the circumstances, including the sensitivity of information held.</w:t>
            </w:r>
          </w:p>
          <w:p w14:paraId="50D23CFC" w14:textId="2D6AC388" w:rsidR="005776EE" w:rsidRDefault="005776EE" w:rsidP="00A30EAA">
            <w:pPr>
              <w:pStyle w:val="ListParagraph"/>
            </w:pPr>
            <w:r>
              <w:t>APP 1 (privacy policy), APP 3 (collection limits), APP 5 (notification), APP 6 (use/disclosure), APP 11 (security), and APPs 12-13 (access/correction) are most significant for law firms.</w:t>
            </w:r>
          </w:p>
          <w:p w14:paraId="2C7A70CE" w14:textId="43E11837" w:rsidR="005776EE" w:rsidRDefault="005776EE" w:rsidP="00A30EAA">
            <w:pPr>
              <w:pStyle w:val="ListParagraph"/>
            </w:pPr>
            <w:r>
              <w:t>AML/CTF obligations and privacy obligations operate concurrently — compliance with one does not excuse non-compliance with the other.</w:t>
            </w:r>
          </w:p>
          <w:p w14:paraId="70465FD5" w14:textId="6B01ECAA" w:rsidR="005776EE" w:rsidRDefault="005776EE" w:rsidP="00A30EAA">
            <w:pPr>
              <w:pStyle w:val="ListParagraph"/>
            </w:pPr>
            <w:r>
              <w:t>CDD collection is authorised by law, but notification to individuals (APP 5) is still required.</w:t>
            </w:r>
          </w:p>
          <w:p w14:paraId="56D755C7" w14:textId="4FF0FC0A" w:rsidR="005776EE" w:rsidRDefault="005776EE" w:rsidP="00A30EAA">
            <w:pPr>
              <w:pStyle w:val="ListParagraph"/>
            </w:pPr>
            <w:r>
              <w:t>Suspicious matter reporting is authorised under both privacy and confidentiality frameworks; the tipping off prohibition must be observed strictly.</w:t>
            </w:r>
          </w:p>
        </w:tc>
      </w:tr>
    </w:tbl>
    <w:p w14:paraId="2996B2D7" w14:textId="2905637B" w:rsidR="005776EE" w:rsidRDefault="005776EE" w:rsidP="00973158">
      <w:r>
        <w:br w:type="page"/>
      </w:r>
    </w:p>
    <w:p w14:paraId="510BEBF4" w14:textId="77777777" w:rsidR="007E650E" w:rsidRPr="007E650E" w:rsidRDefault="007E650E" w:rsidP="00AB13FF">
      <w:pPr>
        <w:pStyle w:val="Header"/>
      </w:pPr>
      <w:bookmarkStart w:id="212" w:name="_Toc231895186"/>
      <w:bookmarkStart w:id="213" w:name="_Toc220069943"/>
      <w:bookmarkStart w:id="214" w:name="_Toc220655101"/>
      <w:r w:rsidRPr="007E650E">
        <w:lastRenderedPageBreak/>
        <w:t>PART D</w:t>
      </w:r>
      <w:bookmarkEnd w:id="212"/>
    </w:p>
    <w:p w14:paraId="1576D82F" w14:textId="77777777" w:rsidR="007E650E" w:rsidRDefault="007E650E" w:rsidP="00A30EAA">
      <w:pPr>
        <w:pStyle w:val="Header2"/>
      </w:pPr>
      <w:bookmarkStart w:id="215" w:name="_Toc231895187"/>
      <w:r w:rsidRPr="00916392">
        <w:t>BUILDING YOUR COMPLIANCE FRAMEWORK</w:t>
      </w:r>
      <w:bookmarkEnd w:id="215"/>
      <w:r>
        <w:t xml:space="preserve"> </w:t>
      </w:r>
    </w:p>
    <w:p w14:paraId="1557A8FE" w14:textId="5C9C739E" w:rsidR="005776EE" w:rsidRDefault="005776EE" w:rsidP="00A82687">
      <w:pPr>
        <w:pStyle w:val="NumberedHeading1"/>
      </w:pPr>
      <w:bookmarkStart w:id="216" w:name="_Toc231895188"/>
      <w:r>
        <w:t>Your Privacy Policy</w:t>
      </w:r>
      <w:bookmarkEnd w:id="213"/>
      <w:bookmarkEnd w:id="214"/>
      <w:bookmarkEnd w:id="216"/>
    </w:p>
    <w:p w14:paraId="1E668DE7" w14:textId="77777777" w:rsidR="001173D5" w:rsidRDefault="005776EE" w:rsidP="00A30EAA">
      <w:pPr>
        <w:pStyle w:val="Body"/>
      </w:pPr>
      <w:r>
        <w:t xml:space="preserve">The privacy policy is the public face of your privacy compliance program. </w:t>
      </w:r>
    </w:p>
    <w:p w14:paraId="5EFAC54E" w14:textId="758C31FC" w:rsidR="005776EE" w:rsidRDefault="005776EE" w:rsidP="00A30EAA">
      <w:pPr>
        <w:pStyle w:val="Body"/>
      </w:pPr>
      <w:r>
        <w:t>APP 1 requires every APP entity to have a clearly expressed and up-to-date privacy policy that explains how it manages personal information.</w:t>
      </w:r>
      <w:r>
        <w:rPr>
          <w:rStyle w:val="FootnoteReference"/>
        </w:rPr>
        <w:footnoteReference w:id="117"/>
      </w:r>
      <w:r>
        <w:t xml:space="preserve"> This chapter explains how to develop and maintain your privacy policy using Document 01: Privacy Policy Template.</w:t>
      </w:r>
    </w:p>
    <w:p w14:paraId="5570218B" w14:textId="45094127" w:rsidR="005776EE" w:rsidRDefault="005776EE" w:rsidP="00A30EAA">
      <w:pPr>
        <w:pStyle w:val="NumberedHeading2"/>
      </w:pPr>
      <w:bookmarkStart w:id="217" w:name="_Toc220069944"/>
      <w:bookmarkStart w:id="218" w:name="_Toc220655102"/>
      <w:bookmarkStart w:id="219" w:name="_Toc231895189"/>
      <w:r>
        <w:t xml:space="preserve">Purpose and </w:t>
      </w:r>
      <w:bookmarkEnd w:id="217"/>
      <w:bookmarkEnd w:id="218"/>
      <w:r w:rsidR="00385240">
        <w:t>mandatory elements</w:t>
      </w:r>
      <w:bookmarkEnd w:id="219"/>
    </w:p>
    <w:p w14:paraId="49C3B407" w14:textId="361FE687" w:rsidR="005776EE" w:rsidRDefault="005776EE" w:rsidP="00A30EAA">
      <w:pPr>
        <w:pStyle w:val="Body"/>
      </w:pPr>
      <w:r>
        <w:t xml:space="preserve">The privacy policy serves two key functions: it informs individuals about how you handle their personal information, and it </w:t>
      </w:r>
      <w:r w:rsidR="00385240">
        <w:t>informs internal procedures</w:t>
      </w:r>
      <w:r>
        <w:t>. The policy must be made available free of charge in an appropriate form</w:t>
      </w:r>
      <w:r w:rsidR="003366DB">
        <w:t>. F</w:t>
      </w:r>
      <w:r>
        <w:t>or most law firms, this means publishing it on your website.</w:t>
      </w:r>
      <w:r w:rsidR="00AE6BAF">
        <w:t xml:space="preserve"> Drafting hint: don’t conflate information better contained in a Retainer Agreement. </w:t>
      </w:r>
    </w:p>
    <w:p w14:paraId="73DE44E9" w14:textId="519D5AC7" w:rsidR="005776EE" w:rsidRDefault="005776EE" w:rsidP="00A30EAA">
      <w:pPr>
        <w:pStyle w:val="Body"/>
      </w:pPr>
      <w:r>
        <w:t>APP 1.4 specifies six mandatory content requirements for privacy policies:</w:t>
      </w:r>
      <w:r>
        <w:rPr>
          <w:rStyle w:val="FootnoteReference"/>
        </w:rPr>
        <w:footnoteReference w:id="118"/>
      </w:r>
      <w:r w:rsidR="00CE4352">
        <w:t xml:space="preserve"> </w:t>
      </w:r>
    </w:p>
    <w:tbl>
      <w:tblPr>
        <w:tblW w:w="5000" w:type="pct"/>
        <w:tblCellMar>
          <w:left w:w="10" w:type="dxa"/>
          <w:right w:w="10" w:type="dxa"/>
        </w:tblCellMar>
        <w:tblLook w:val="04A0" w:firstRow="1" w:lastRow="0" w:firstColumn="1" w:lastColumn="0" w:noHBand="0" w:noVBand="1"/>
      </w:tblPr>
      <w:tblGrid>
        <w:gridCol w:w="699"/>
        <w:gridCol w:w="8327"/>
      </w:tblGrid>
      <w:tr w:rsidR="002A5B33" w14:paraId="606576A8" w14:textId="77777777" w:rsidTr="00A9333C">
        <w:tc>
          <w:tcPr>
            <w:tcW w:w="700" w:type="dxa"/>
            <w:shd w:val="clear" w:color="auto" w:fill="0F2D52"/>
            <w:tcMar>
              <w:top w:w="100" w:type="dxa"/>
              <w:left w:w="120" w:type="dxa"/>
              <w:bottom w:w="100" w:type="dxa"/>
              <w:right w:w="120" w:type="dxa"/>
            </w:tcMar>
          </w:tcPr>
          <w:p w14:paraId="31068CB7" w14:textId="77777777" w:rsidR="002A5B33" w:rsidRDefault="002A5B33" w:rsidP="007E650E">
            <w:pPr>
              <w:pStyle w:val="TableHeading"/>
            </w:pPr>
            <w:r>
              <w:t>#</w:t>
            </w:r>
          </w:p>
        </w:tc>
        <w:tc>
          <w:tcPr>
            <w:tcW w:w="8371" w:type="dxa"/>
            <w:shd w:val="clear" w:color="auto" w:fill="0F2D52"/>
            <w:tcMar>
              <w:top w:w="100" w:type="dxa"/>
              <w:left w:w="120" w:type="dxa"/>
              <w:bottom w:w="100" w:type="dxa"/>
              <w:right w:w="120" w:type="dxa"/>
            </w:tcMar>
          </w:tcPr>
          <w:p w14:paraId="63511BE0" w14:textId="77777777" w:rsidR="002A5B33" w:rsidRPr="00CE4352" w:rsidRDefault="002A5B33" w:rsidP="007E650E">
            <w:pPr>
              <w:pStyle w:val="TableHeading"/>
            </w:pPr>
            <w:r w:rsidRPr="00CE4352">
              <w:t>Required Content (APP 1.4)</w:t>
            </w:r>
          </w:p>
        </w:tc>
      </w:tr>
      <w:tr w:rsidR="002A5B33" w14:paraId="1E4374F9" w14:textId="77777777" w:rsidTr="00A9333C">
        <w:tc>
          <w:tcPr>
            <w:tcW w:w="700" w:type="dxa"/>
            <w:tcBorders>
              <w:bottom w:val="single" w:sz="4" w:space="0" w:color="auto"/>
            </w:tcBorders>
            <w:tcMar>
              <w:top w:w="100" w:type="dxa"/>
              <w:left w:w="120" w:type="dxa"/>
              <w:bottom w:w="100" w:type="dxa"/>
              <w:right w:w="120" w:type="dxa"/>
            </w:tcMar>
          </w:tcPr>
          <w:p w14:paraId="2F8605C4" w14:textId="77777777" w:rsidR="002A5B33" w:rsidRDefault="002A5B33" w:rsidP="007E650E">
            <w:pPr>
              <w:pStyle w:val="Tablecontent"/>
            </w:pPr>
            <w:r>
              <w:t>(a)</w:t>
            </w:r>
          </w:p>
        </w:tc>
        <w:tc>
          <w:tcPr>
            <w:tcW w:w="8371" w:type="dxa"/>
            <w:tcBorders>
              <w:bottom w:val="single" w:sz="4" w:space="0" w:color="auto"/>
            </w:tcBorders>
            <w:tcMar>
              <w:top w:w="100" w:type="dxa"/>
              <w:left w:w="120" w:type="dxa"/>
              <w:bottom w:w="100" w:type="dxa"/>
              <w:right w:w="120" w:type="dxa"/>
            </w:tcMar>
          </w:tcPr>
          <w:p w14:paraId="4397F7E9" w14:textId="77777777" w:rsidR="002A5B33" w:rsidRDefault="002A5B33" w:rsidP="007E650E">
            <w:pPr>
              <w:pStyle w:val="Tablecontent"/>
            </w:pPr>
            <w:r>
              <w:t>Kinds of personal information collected and held</w:t>
            </w:r>
          </w:p>
        </w:tc>
      </w:tr>
      <w:tr w:rsidR="002A5B33" w14:paraId="6FEE4DF0" w14:textId="77777777" w:rsidTr="00A9333C">
        <w:tc>
          <w:tcPr>
            <w:tcW w:w="700" w:type="dxa"/>
            <w:tcBorders>
              <w:top w:val="single" w:sz="4" w:space="0" w:color="auto"/>
              <w:bottom w:val="single" w:sz="4" w:space="0" w:color="auto"/>
            </w:tcBorders>
            <w:tcMar>
              <w:top w:w="100" w:type="dxa"/>
              <w:left w:w="120" w:type="dxa"/>
              <w:bottom w:w="100" w:type="dxa"/>
              <w:right w:w="120" w:type="dxa"/>
            </w:tcMar>
          </w:tcPr>
          <w:p w14:paraId="1CEB34BF" w14:textId="77777777" w:rsidR="002A5B33" w:rsidRDefault="002A5B33" w:rsidP="007E650E">
            <w:pPr>
              <w:pStyle w:val="Tablecontent"/>
            </w:pPr>
            <w:r>
              <w:t>(b)</w:t>
            </w:r>
          </w:p>
        </w:tc>
        <w:tc>
          <w:tcPr>
            <w:tcW w:w="8371" w:type="dxa"/>
            <w:tcBorders>
              <w:top w:val="single" w:sz="4" w:space="0" w:color="auto"/>
              <w:bottom w:val="single" w:sz="4" w:space="0" w:color="auto"/>
            </w:tcBorders>
            <w:tcMar>
              <w:top w:w="100" w:type="dxa"/>
              <w:left w:w="120" w:type="dxa"/>
              <w:bottom w:w="100" w:type="dxa"/>
              <w:right w:w="120" w:type="dxa"/>
            </w:tcMar>
          </w:tcPr>
          <w:p w14:paraId="06535763" w14:textId="77777777" w:rsidR="002A5B33" w:rsidRDefault="002A5B33" w:rsidP="007E650E">
            <w:pPr>
              <w:pStyle w:val="Tablecontent"/>
            </w:pPr>
            <w:r>
              <w:t>How personal information is collected and held</w:t>
            </w:r>
          </w:p>
        </w:tc>
      </w:tr>
      <w:tr w:rsidR="002A5B33" w14:paraId="09128AA6" w14:textId="77777777" w:rsidTr="00A9333C">
        <w:tc>
          <w:tcPr>
            <w:tcW w:w="700" w:type="dxa"/>
            <w:tcBorders>
              <w:top w:val="single" w:sz="4" w:space="0" w:color="auto"/>
              <w:bottom w:val="single" w:sz="4" w:space="0" w:color="auto"/>
            </w:tcBorders>
            <w:tcMar>
              <w:top w:w="100" w:type="dxa"/>
              <w:left w:w="120" w:type="dxa"/>
              <w:bottom w:w="100" w:type="dxa"/>
              <w:right w:w="120" w:type="dxa"/>
            </w:tcMar>
          </w:tcPr>
          <w:p w14:paraId="2430EDEB" w14:textId="77777777" w:rsidR="002A5B33" w:rsidRDefault="002A5B33" w:rsidP="007E650E">
            <w:pPr>
              <w:pStyle w:val="Tablecontent"/>
            </w:pPr>
            <w:r>
              <w:t>(c)</w:t>
            </w:r>
          </w:p>
        </w:tc>
        <w:tc>
          <w:tcPr>
            <w:tcW w:w="8371" w:type="dxa"/>
            <w:tcBorders>
              <w:top w:val="single" w:sz="4" w:space="0" w:color="auto"/>
              <w:bottom w:val="single" w:sz="4" w:space="0" w:color="auto"/>
            </w:tcBorders>
            <w:tcMar>
              <w:top w:w="100" w:type="dxa"/>
              <w:left w:w="120" w:type="dxa"/>
              <w:bottom w:w="100" w:type="dxa"/>
              <w:right w:w="120" w:type="dxa"/>
            </w:tcMar>
          </w:tcPr>
          <w:p w14:paraId="0424226C" w14:textId="77777777" w:rsidR="002A5B33" w:rsidRDefault="002A5B33" w:rsidP="007E650E">
            <w:pPr>
              <w:pStyle w:val="Tablecontent"/>
            </w:pPr>
            <w:r>
              <w:t>Purposes of collection, holding, use and disclosure</w:t>
            </w:r>
          </w:p>
        </w:tc>
      </w:tr>
      <w:tr w:rsidR="002A5B33" w14:paraId="6E9347A8" w14:textId="77777777" w:rsidTr="00A9333C">
        <w:tc>
          <w:tcPr>
            <w:tcW w:w="700" w:type="dxa"/>
            <w:tcBorders>
              <w:top w:val="single" w:sz="4" w:space="0" w:color="auto"/>
              <w:bottom w:val="single" w:sz="4" w:space="0" w:color="auto"/>
            </w:tcBorders>
            <w:tcMar>
              <w:top w:w="100" w:type="dxa"/>
              <w:left w:w="120" w:type="dxa"/>
              <w:bottom w:w="100" w:type="dxa"/>
              <w:right w:w="120" w:type="dxa"/>
            </w:tcMar>
          </w:tcPr>
          <w:p w14:paraId="275DA9A5" w14:textId="77777777" w:rsidR="002A5B33" w:rsidRDefault="002A5B33" w:rsidP="007E650E">
            <w:pPr>
              <w:pStyle w:val="Tablecontent"/>
            </w:pPr>
            <w:r>
              <w:t>(d)</w:t>
            </w:r>
          </w:p>
        </w:tc>
        <w:tc>
          <w:tcPr>
            <w:tcW w:w="8371" w:type="dxa"/>
            <w:tcBorders>
              <w:top w:val="single" w:sz="4" w:space="0" w:color="auto"/>
              <w:bottom w:val="single" w:sz="4" w:space="0" w:color="auto"/>
            </w:tcBorders>
            <w:tcMar>
              <w:top w:w="100" w:type="dxa"/>
              <w:left w:w="120" w:type="dxa"/>
              <w:bottom w:w="100" w:type="dxa"/>
              <w:right w:w="120" w:type="dxa"/>
            </w:tcMar>
          </w:tcPr>
          <w:p w14:paraId="4F41E047" w14:textId="77777777" w:rsidR="002A5B33" w:rsidRDefault="002A5B33" w:rsidP="007E650E">
            <w:pPr>
              <w:pStyle w:val="Tablecontent"/>
            </w:pPr>
            <w:r>
              <w:t>How to access personal information and seek correction</w:t>
            </w:r>
          </w:p>
        </w:tc>
      </w:tr>
      <w:tr w:rsidR="002A5B33" w14:paraId="5A13CB29" w14:textId="77777777" w:rsidTr="00A9333C">
        <w:tc>
          <w:tcPr>
            <w:tcW w:w="700" w:type="dxa"/>
            <w:tcBorders>
              <w:top w:val="single" w:sz="4" w:space="0" w:color="auto"/>
              <w:bottom w:val="single" w:sz="4" w:space="0" w:color="auto"/>
            </w:tcBorders>
            <w:tcMar>
              <w:top w:w="100" w:type="dxa"/>
              <w:left w:w="120" w:type="dxa"/>
              <w:bottom w:w="100" w:type="dxa"/>
              <w:right w:w="120" w:type="dxa"/>
            </w:tcMar>
          </w:tcPr>
          <w:p w14:paraId="2330E534" w14:textId="77777777" w:rsidR="002A5B33" w:rsidRDefault="002A5B33" w:rsidP="007E650E">
            <w:pPr>
              <w:pStyle w:val="Tablecontent"/>
            </w:pPr>
            <w:r>
              <w:t>(e)</w:t>
            </w:r>
          </w:p>
        </w:tc>
        <w:tc>
          <w:tcPr>
            <w:tcW w:w="8371" w:type="dxa"/>
            <w:tcBorders>
              <w:top w:val="single" w:sz="4" w:space="0" w:color="auto"/>
              <w:bottom w:val="single" w:sz="4" w:space="0" w:color="auto"/>
            </w:tcBorders>
            <w:tcMar>
              <w:top w:w="100" w:type="dxa"/>
              <w:left w:w="120" w:type="dxa"/>
              <w:bottom w:w="100" w:type="dxa"/>
              <w:right w:w="120" w:type="dxa"/>
            </w:tcMar>
          </w:tcPr>
          <w:p w14:paraId="25D5C865" w14:textId="77777777" w:rsidR="002A5B33" w:rsidRDefault="002A5B33" w:rsidP="007E650E">
            <w:pPr>
              <w:pStyle w:val="Tablecontent"/>
            </w:pPr>
            <w:r>
              <w:t>How to complain and how complaints will be handled</w:t>
            </w:r>
          </w:p>
        </w:tc>
      </w:tr>
      <w:tr w:rsidR="002A5B33" w14:paraId="15163C04" w14:textId="77777777" w:rsidTr="00A9333C">
        <w:tc>
          <w:tcPr>
            <w:tcW w:w="700" w:type="dxa"/>
            <w:tcBorders>
              <w:top w:val="single" w:sz="4" w:space="0" w:color="auto"/>
              <w:bottom w:val="single" w:sz="4" w:space="0" w:color="auto"/>
            </w:tcBorders>
            <w:tcMar>
              <w:top w:w="100" w:type="dxa"/>
              <w:left w:w="120" w:type="dxa"/>
              <w:bottom w:w="100" w:type="dxa"/>
              <w:right w:w="120" w:type="dxa"/>
            </w:tcMar>
          </w:tcPr>
          <w:p w14:paraId="4465BC29" w14:textId="77777777" w:rsidR="002A5B33" w:rsidRDefault="002A5B33" w:rsidP="007E650E">
            <w:pPr>
              <w:pStyle w:val="Tablecontent"/>
            </w:pPr>
            <w:r>
              <w:t>(f)</w:t>
            </w:r>
          </w:p>
        </w:tc>
        <w:tc>
          <w:tcPr>
            <w:tcW w:w="8371" w:type="dxa"/>
            <w:tcBorders>
              <w:top w:val="single" w:sz="4" w:space="0" w:color="auto"/>
              <w:bottom w:val="single" w:sz="4" w:space="0" w:color="auto"/>
            </w:tcBorders>
            <w:tcMar>
              <w:top w:w="100" w:type="dxa"/>
              <w:left w:w="120" w:type="dxa"/>
              <w:bottom w:w="100" w:type="dxa"/>
              <w:right w:w="120" w:type="dxa"/>
            </w:tcMar>
          </w:tcPr>
          <w:p w14:paraId="0DF049B0" w14:textId="77777777" w:rsidR="002A5B33" w:rsidRDefault="002A5B33" w:rsidP="007E650E">
            <w:pPr>
              <w:pStyle w:val="Tablecontent"/>
            </w:pPr>
            <w:r>
              <w:t>Likely overseas disclosures and countries involved</w:t>
            </w:r>
          </w:p>
        </w:tc>
      </w:tr>
    </w:tbl>
    <w:p w14:paraId="28472F05" w14:textId="77777777" w:rsidR="005776EE" w:rsidRDefault="005776EE" w:rsidP="00A30EAA">
      <w:pPr>
        <w:pStyle w:val="Body"/>
      </w:pPr>
      <w:r>
        <w:t>From 10 December 2026, an additional requirement will apply: if the entity uses substantially automated systems to make decisions that could significantly affect individuals' rights or interests, this must be disclosed in the privacy policy.</w:t>
      </w:r>
      <w:r>
        <w:rPr>
          <w:rStyle w:val="FootnoteReference"/>
        </w:rPr>
        <w:footnoteReference w:id="119"/>
      </w:r>
    </w:p>
    <w:p w14:paraId="7F2532D0" w14:textId="77777777" w:rsidR="001F3BAF" w:rsidRDefault="001F3BAF">
      <w:pPr>
        <w:spacing w:after="0"/>
        <w:rPr>
          <w:b/>
          <w:bCs/>
          <w:iCs/>
          <w:color w:val="0F2D52"/>
          <w:sz w:val="28"/>
          <w:szCs w:val="28"/>
        </w:rPr>
      </w:pPr>
      <w:bookmarkStart w:id="220" w:name="_Toc220069945"/>
      <w:bookmarkStart w:id="221" w:name="_Toc220655103"/>
      <w:r>
        <w:br w:type="page"/>
      </w:r>
    </w:p>
    <w:p w14:paraId="4DE38C5C" w14:textId="5430D478" w:rsidR="005776EE" w:rsidRDefault="005776EE" w:rsidP="00A30EAA">
      <w:pPr>
        <w:pStyle w:val="NumberedHeading2"/>
      </w:pPr>
      <w:bookmarkStart w:id="222" w:name="_Toc231895190"/>
      <w:r>
        <w:lastRenderedPageBreak/>
        <w:t>Using the Privacy Policy Template</w:t>
      </w:r>
      <w:bookmarkEnd w:id="220"/>
      <w:bookmarkEnd w:id="221"/>
      <w:bookmarkEnd w:id="222"/>
    </w:p>
    <w:p w14:paraId="2D8C9272" w14:textId="0E7D053B" w:rsidR="005776EE" w:rsidRDefault="005776EE" w:rsidP="00A30EAA">
      <w:pPr>
        <w:pStyle w:val="Body"/>
      </w:pPr>
      <w:r>
        <w:t>Document 01: Privacy Policy Template provides a privacy policy drafted specifically for small law firms providing designated services.</w:t>
      </w:r>
      <w:r w:rsidR="00AE4018">
        <w:t xml:space="preserve"> Drafting notes are contained in blue boxes. These should be deleted prior to publication.</w:t>
      </w:r>
      <w:r>
        <w:t xml:space="preserve"> To customise the template for your firm:</w:t>
      </w:r>
    </w:p>
    <w:p w14:paraId="04DADDE8" w14:textId="77777777" w:rsidR="005776EE" w:rsidRDefault="005776EE" w:rsidP="00973158">
      <w:pPr>
        <w:pStyle w:val="Heading3"/>
      </w:pPr>
      <w:bookmarkStart w:id="223" w:name="_Toc220069946"/>
      <w:r>
        <w:t>Step 1: Insert firm details</w:t>
      </w:r>
      <w:bookmarkEnd w:id="223"/>
    </w:p>
    <w:p w14:paraId="5B7FD37D" w14:textId="77777777" w:rsidR="005776EE" w:rsidRDefault="005776EE" w:rsidP="00A30EAA">
      <w:pPr>
        <w:pStyle w:val="Body"/>
      </w:pPr>
      <w:r>
        <w:t>Replace all placeholders marked with [square brackets] throughout the document. Key placeholders include:</w:t>
      </w:r>
    </w:p>
    <w:p w14:paraId="51E143D1" w14:textId="48783DDC" w:rsidR="005776EE" w:rsidRDefault="005776EE" w:rsidP="00A30EAA">
      <w:pPr>
        <w:pStyle w:val="ListParagraph"/>
      </w:pPr>
      <w:r>
        <w:t>[Firm Name] — your firm's legal name</w:t>
      </w:r>
    </w:p>
    <w:p w14:paraId="49F387DC" w14:textId="4B272C99" w:rsidR="005776EE" w:rsidRDefault="005776EE" w:rsidP="00A30EAA">
      <w:pPr>
        <w:pStyle w:val="ListParagraph"/>
      </w:pPr>
      <w:r>
        <w:t>[Address] — your principal place of business</w:t>
      </w:r>
    </w:p>
    <w:p w14:paraId="1EAFE215" w14:textId="452F795C" w:rsidR="005776EE" w:rsidRDefault="005776EE" w:rsidP="00A30EAA">
      <w:pPr>
        <w:pStyle w:val="ListParagraph"/>
      </w:pPr>
      <w:r>
        <w:t>[Phone] — your main contact number</w:t>
      </w:r>
    </w:p>
    <w:p w14:paraId="5C810D54" w14:textId="519A4410" w:rsidR="005776EE" w:rsidRDefault="005776EE" w:rsidP="00A30EAA">
      <w:pPr>
        <w:pStyle w:val="ListParagraph"/>
      </w:pPr>
      <w:r>
        <w:t>[Email] — your main contact email (or dedicated privacy email)</w:t>
      </w:r>
      <w:r w:rsidR="00C26092">
        <w:t>: consider concealing that so that it can’t be harvested by spam-bots.</w:t>
      </w:r>
    </w:p>
    <w:p w14:paraId="5DE93737" w14:textId="366D448B" w:rsidR="005776EE" w:rsidRDefault="005776EE" w:rsidP="00A30EAA">
      <w:pPr>
        <w:pStyle w:val="ListParagraph"/>
      </w:pPr>
      <w:r>
        <w:t>[Privacy Officer name/position] — the designated privacy contact</w:t>
      </w:r>
    </w:p>
    <w:p w14:paraId="56F821CE" w14:textId="1DB1F4A3" w:rsidR="005776EE" w:rsidRDefault="005776EE" w:rsidP="00A30EAA">
      <w:pPr>
        <w:pStyle w:val="ListParagraph"/>
      </w:pPr>
      <w:r>
        <w:t>[Website URL] — your firm's website address</w:t>
      </w:r>
    </w:p>
    <w:p w14:paraId="0835BA19" w14:textId="77777777" w:rsidR="005776EE" w:rsidRDefault="005776EE" w:rsidP="00973158">
      <w:pPr>
        <w:pStyle w:val="Heading3"/>
      </w:pPr>
      <w:bookmarkStart w:id="224" w:name="_Toc220069947"/>
      <w:r>
        <w:t>Step 2: Review and adjust content</w:t>
      </w:r>
      <w:bookmarkEnd w:id="224"/>
    </w:p>
    <w:p w14:paraId="40B4684C" w14:textId="77777777" w:rsidR="00FB2A83" w:rsidRDefault="005776EE" w:rsidP="00A30EAA">
      <w:pPr>
        <w:pStyle w:val="Body"/>
      </w:pPr>
      <w:r>
        <w:t xml:space="preserve">The template includes content relevant to most small law firms providing designated services. </w:t>
      </w:r>
      <w:r w:rsidR="009C7821">
        <w:t xml:space="preserve">However, the Privacy Policy must be a living document. </w:t>
      </w:r>
      <w:r w:rsidR="006A1E37">
        <w:t xml:space="preserve">It must reflect actual practice and be the starting point for how your firm actually deals with regulated information. </w:t>
      </w:r>
    </w:p>
    <w:p w14:paraId="21A18760" w14:textId="7EBCEEF3" w:rsidR="00FB2A83" w:rsidRDefault="00FB2A83" w:rsidP="00A30EAA">
      <w:pPr>
        <w:pStyle w:val="Body"/>
      </w:pPr>
      <w:r>
        <w:t xml:space="preserve">It must be drafted with clarity in mind. For that reason it is “layered”, with the </w:t>
      </w:r>
      <w:r w:rsidR="00E95C10">
        <w:t xml:space="preserve">initial paragraph containing a simple overview with room for more specifics below. Ideally, it is published </w:t>
      </w:r>
      <w:r w:rsidR="00331CB5">
        <w:t xml:space="preserve">(on the website) </w:t>
      </w:r>
      <w:r w:rsidR="00E95C10">
        <w:t>in a format wher</w:t>
      </w:r>
      <w:r w:rsidR="00FA138C">
        <w:t>e the reader primarily sees the simple content but has the ability to expand for more detail if they want it.</w:t>
      </w:r>
    </w:p>
    <w:p w14:paraId="103117E4" w14:textId="64120047" w:rsidR="005776EE" w:rsidRDefault="005776EE" w:rsidP="00A30EAA">
      <w:pPr>
        <w:pStyle w:val="Body"/>
      </w:pPr>
      <w:r>
        <w:t>Review each section to ensure it accurately reflects your firm's practices:</w:t>
      </w:r>
    </w:p>
    <w:p w14:paraId="11566BF2" w14:textId="5E9514CA" w:rsidR="005776EE" w:rsidRDefault="005776EE" w:rsidP="00A30EAA">
      <w:pPr>
        <w:pStyle w:val="ListParagraph"/>
      </w:pPr>
      <w:r>
        <w:rPr>
          <w:b/>
          <w:bCs/>
        </w:rPr>
        <w:t xml:space="preserve">Types of information: </w:t>
      </w:r>
      <w:r>
        <w:t>Confirm the categories of personal information listed are those your firm actually collects.</w:t>
      </w:r>
    </w:p>
    <w:p w14:paraId="3B77DEB5" w14:textId="184B67B8" w:rsidR="005776EE" w:rsidRDefault="005776EE" w:rsidP="00A30EAA">
      <w:pPr>
        <w:pStyle w:val="ListParagraph"/>
      </w:pPr>
      <w:r>
        <w:rPr>
          <w:b/>
          <w:bCs/>
        </w:rPr>
        <w:t xml:space="preserve">Disclosure recipients: </w:t>
      </w:r>
      <w:r>
        <w:t>Review the list of typical disclosure recipients. Add categories relevant to your practice (e.g., specific regulators, experts you commonly engage</w:t>
      </w:r>
      <w:r w:rsidR="00AE4018">
        <w:t xml:space="preserve"> – by category not name</w:t>
      </w:r>
      <w:r>
        <w:t>).</w:t>
      </w:r>
    </w:p>
    <w:p w14:paraId="00A79DA6" w14:textId="0BD6E718" w:rsidR="005776EE" w:rsidRDefault="005776EE" w:rsidP="00A30EAA">
      <w:pPr>
        <w:pStyle w:val="ListParagraph"/>
      </w:pPr>
      <w:r>
        <w:rPr>
          <w:b/>
          <w:bCs/>
        </w:rPr>
        <w:t xml:space="preserve">Overseas disclosure: </w:t>
      </w:r>
      <w:r>
        <w:t>If your firm uses cloud services</w:t>
      </w:r>
      <w:r w:rsidR="00F97260">
        <w:t xml:space="preserve"> with data processed or stored overseas, a virtual assistant hosted offshore</w:t>
      </w:r>
      <w:r>
        <w:t xml:space="preserve"> or</w:t>
      </w:r>
      <w:r w:rsidR="00F97260">
        <w:t xml:space="preserve"> routinely</w:t>
      </w:r>
      <w:r>
        <w:t xml:space="preserve"> corresponds with overseas parties</w:t>
      </w:r>
      <w:r w:rsidR="00F97260">
        <w:t xml:space="preserve"> </w:t>
      </w:r>
      <w:r>
        <w:t xml:space="preserve"> identify the relevant countries</w:t>
      </w:r>
      <w:r w:rsidR="00F1380C">
        <w:t>.</w:t>
      </w:r>
    </w:p>
    <w:p w14:paraId="2A4EB6AA" w14:textId="2D50D97C" w:rsidR="00F97260" w:rsidRDefault="00F97260" w:rsidP="00F97260">
      <w:pPr>
        <w:pStyle w:val="Body"/>
      </w:pPr>
      <w:r>
        <w:t xml:space="preserve">The template provided contains a basic description under each compulsory heading with </w:t>
      </w:r>
      <w:r w:rsidR="004D71C5">
        <w:t>expansion fields that can be used to give more detail or lists of relevant information collected. This design is intended to improve readability by providing essential information as default with the opportunity to read further if desired.</w:t>
      </w:r>
    </w:p>
    <w:p w14:paraId="5E9BF323" w14:textId="65A9D65D" w:rsidR="005776EE" w:rsidRDefault="005776EE" w:rsidP="00A30EAA">
      <w:pPr>
        <w:pStyle w:val="NumberedHeading2"/>
      </w:pPr>
      <w:bookmarkStart w:id="225" w:name="_Toc220069949"/>
      <w:bookmarkStart w:id="226" w:name="_Toc220655104"/>
      <w:bookmarkStart w:id="227" w:name="_Toc231895191"/>
      <w:r>
        <w:t>Publication and Accessibility</w:t>
      </w:r>
      <w:bookmarkEnd w:id="225"/>
      <w:bookmarkEnd w:id="226"/>
      <w:bookmarkEnd w:id="227"/>
    </w:p>
    <w:p w14:paraId="1FCB6447" w14:textId="77777777" w:rsidR="005776EE" w:rsidRDefault="005776EE" w:rsidP="00A30EAA">
      <w:pPr>
        <w:pStyle w:val="Body"/>
      </w:pPr>
      <w:r>
        <w:t>Once finalised, your privacy policy must be made available in an appropriate form, free of charge.</w:t>
      </w:r>
      <w:r>
        <w:rPr>
          <w:rStyle w:val="FootnoteReference"/>
        </w:rPr>
        <w:footnoteReference w:id="120"/>
      </w:r>
      <w:r>
        <w:t xml:space="preserve"> The OAIC recommends:</w:t>
      </w:r>
      <w:r>
        <w:rPr>
          <w:rStyle w:val="FootnoteReference"/>
        </w:rPr>
        <w:footnoteReference w:id="121"/>
      </w:r>
    </w:p>
    <w:p w14:paraId="58D2B41C" w14:textId="7B784C49" w:rsidR="005776EE" w:rsidRDefault="005776EE" w:rsidP="00A30EAA">
      <w:pPr>
        <w:pStyle w:val="ListParagraph"/>
      </w:pPr>
      <w:r>
        <w:t>Publish the full policy on your website, with a clear link from the homepage;</w:t>
      </w:r>
    </w:p>
    <w:p w14:paraId="2654787B" w14:textId="00A956EC" w:rsidR="005776EE" w:rsidRDefault="005776EE" w:rsidP="00A30EAA">
      <w:pPr>
        <w:pStyle w:val="ListParagraph"/>
      </w:pPr>
      <w:r>
        <w:t>Make a copy available at your office for anyone who requests it;</w:t>
      </w:r>
    </w:p>
    <w:p w14:paraId="119EC627" w14:textId="5EC9D97C" w:rsidR="005776EE" w:rsidRDefault="005776EE" w:rsidP="00A30EAA">
      <w:pPr>
        <w:pStyle w:val="ListParagraph"/>
      </w:pPr>
      <w:r>
        <w:t>Be prepared to provide the policy in alternative formats (e.g., large print) if requested;</w:t>
      </w:r>
    </w:p>
    <w:p w14:paraId="132473E1" w14:textId="080FBCC7" w:rsidR="005776EE" w:rsidRDefault="005776EE" w:rsidP="00A30EAA">
      <w:pPr>
        <w:pStyle w:val="ListParagraph"/>
      </w:pPr>
      <w:r>
        <w:t>Reference the policy in engagement letters and collection notices.</w:t>
      </w:r>
    </w:p>
    <w:p w14:paraId="322D435E" w14:textId="77777777" w:rsidR="004D1E21" w:rsidRDefault="004D1E21">
      <w:pPr>
        <w:spacing w:after="0"/>
        <w:rPr>
          <w:b/>
          <w:bCs/>
          <w:iCs/>
          <w:color w:val="0F2D52"/>
          <w:sz w:val="28"/>
          <w:szCs w:val="28"/>
        </w:rPr>
      </w:pPr>
      <w:bookmarkStart w:id="228" w:name="_Toc220069950"/>
      <w:bookmarkStart w:id="229" w:name="_Toc220655105"/>
      <w:r>
        <w:br w:type="page"/>
      </w:r>
    </w:p>
    <w:p w14:paraId="787E2A91" w14:textId="65F326E4" w:rsidR="005776EE" w:rsidRDefault="005776EE" w:rsidP="00A30EAA">
      <w:pPr>
        <w:pStyle w:val="NumberedHeading2"/>
      </w:pPr>
      <w:bookmarkStart w:id="230" w:name="_Toc231895192"/>
      <w:r>
        <w:lastRenderedPageBreak/>
        <w:t xml:space="preserve">Keeping the Policy </w:t>
      </w:r>
      <w:r w:rsidRPr="00B26822">
        <w:t>Current</w:t>
      </w:r>
      <w:bookmarkEnd w:id="228"/>
      <w:bookmarkEnd w:id="229"/>
      <w:bookmarkEnd w:id="230"/>
    </w:p>
    <w:p w14:paraId="1B3406D9" w14:textId="77777777" w:rsidR="005776EE" w:rsidRDefault="005776EE" w:rsidP="00A30EAA">
      <w:pPr>
        <w:pStyle w:val="Body"/>
      </w:pPr>
      <w:r>
        <w:t>The privacy policy must be 'up to date'. This requires periodic review and updating whenever there are material changes to your information handling practices.</w:t>
      </w:r>
      <w:r>
        <w:rPr>
          <w:rStyle w:val="FootnoteReference"/>
        </w:rPr>
        <w:footnoteReference w:id="122"/>
      </w:r>
    </w:p>
    <w:p w14:paraId="35F76436" w14:textId="32819B94" w:rsidR="005776EE" w:rsidRDefault="005776EE" w:rsidP="00A30EAA">
      <w:pPr>
        <w:pStyle w:val="Body"/>
      </w:pPr>
      <w:r>
        <w:t xml:space="preserve">Events that </w:t>
      </w:r>
      <w:r w:rsidR="0078398F">
        <w:t>might</w:t>
      </w:r>
      <w:r>
        <w:t xml:space="preserve"> trigger a policy review include:</w:t>
      </w:r>
    </w:p>
    <w:p w14:paraId="6ECC39FD" w14:textId="4E613A22" w:rsidR="005776EE" w:rsidRDefault="005776EE" w:rsidP="00A30EAA">
      <w:pPr>
        <w:pStyle w:val="ListParagraph"/>
      </w:pPr>
      <w:r>
        <w:t>Changes to the types of personal information collected;</w:t>
      </w:r>
    </w:p>
    <w:p w14:paraId="2BD99EF7" w14:textId="778ECDA4" w:rsidR="005776EE" w:rsidRDefault="005776EE" w:rsidP="00A30EAA">
      <w:pPr>
        <w:pStyle w:val="ListParagraph"/>
      </w:pPr>
      <w:r>
        <w:t>Changes to the purposes for which information is used;</w:t>
      </w:r>
    </w:p>
    <w:p w14:paraId="56B42D8A" w14:textId="3629584B" w:rsidR="005776EE" w:rsidRDefault="005776EE" w:rsidP="00A30EAA">
      <w:pPr>
        <w:pStyle w:val="ListParagraph"/>
      </w:pPr>
      <w:r>
        <w:t>Engagement of new service providers who will access personal information;</w:t>
      </w:r>
    </w:p>
    <w:p w14:paraId="5943EFBB" w14:textId="356954E1" w:rsidR="005776EE" w:rsidRDefault="005776EE" w:rsidP="00A30EAA">
      <w:pPr>
        <w:pStyle w:val="ListParagraph"/>
      </w:pPr>
      <w:r>
        <w:t>Changes to overseas disclosure practices (new countries, new service providers);</w:t>
      </w:r>
    </w:p>
    <w:p w14:paraId="1E50C8A7" w14:textId="0B497F6A" w:rsidR="005776EE" w:rsidRDefault="005776EE" w:rsidP="00A30EAA">
      <w:pPr>
        <w:pStyle w:val="ListParagraph"/>
      </w:pPr>
      <w:r>
        <w:t>Introduction of new technologies (AI tools, new software systems);</w:t>
      </w:r>
    </w:p>
    <w:p w14:paraId="1C2E81D7" w14:textId="37EF88A4" w:rsidR="005776EE" w:rsidRDefault="005776EE" w:rsidP="00A30EAA">
      <w:pPr>
        <w:pStyle w:val="ListParagraph"/>
      </w:pPr>
      <w:r>
        <w:t>Changes to privacy legislation or OAIC guidance;</w:t>
      </w:r>
    </w:p>
    <w:p w14:paraId="3F37E069" w14:textId="776B06CF" w:rsidR="005776EE" w:rsidRDefault="005776EE" w:rsidP="00A30EAA">
      <w:pPr>
        <w:pStyle w:val="ListParagraph"/>
      </w:pPr>
      <w:r>
        <w:t>Annual review (as a minimum).</w:t>
      </w:r>
    </w:p>
    <w:tbl>
      <w:tblPr>
        <w:tblW w:w="5000" w:type="pct"/>
        <w:tblCellMar>
          <w:left w:w="10" w:type="dxa"/>
          <w:right w:w="10" w:type="dxa"/>
        </w:tblCellMar>
        <w:tblLook w:val="04A0" w:firstRow="1" w:lastRow="0" w:firstColumn="1" w:lastColumn="0" w:noHBand="0" w:noVBand="1"/>
      </w:tblPr>
      <w:tblGrid>
        <w:gridCol w:w="9026"/>
      </w:tblGrid>
      <w:tr w:rsidR="005776EE" w14:paraId="0E932EFE" w14:textId="77777777" w:rsidTr="007E650E">
        <w:tc>
          <w:tcPr>
            <w:tcW w:w="9026" w:type="dxa"/>
            <w:shd w:val="clear" w:color="auto" w:fill="E8F5E9"/>
            <w:tcMar>
              <w:top w:w="160" w:type="dxa"/>
              <w:left w:w="200" w:type="dxa"/>
              <w:bottom w:w="160" w:type="dxa"/>
              <w:right w:w="200" w:type="dxa"/>
            </w:tcMar>
          </w:tcPr>
          <w:p w14:paraId="5DA8E4AC" w14:textId="77777777" w:rsidR="005776EE" w:rsidRPr="007E650E" w:rsidRDefault="005776EE" w:rsidP="00A30EAA">
            <w:pPr>
              <w:pStyle w:val="Body"/>
              <w:rPr>
                <w:rStyle w:val="Strong"/>
              </w:rPr>
            </w:pPr>
            <w:r w:rsidRPr="007E650E">
              <w:rPr>
                <w:rStyle w:val="Strong"/>
              </w:rPr>
              <w:t>Practical Tip: Version Control</w:t>
            </w:r>
          </w:p>
          <w:p w14:paraId="33599418" w14:textId="77777777" w:rsidR="005776EE" w:rsidRDefault="005776EE" w:rsidP="00A30EAA">
            <w:pPr>
              <w:pStyle w:val="Body"/>
            </w:pPr>
            <w:r>
              <w:t>Include a version number and date on your privacy policy (the template includes a placeholder for this). When you update the policy, increment the version number and update the date. Keep a copy of superseded versions for your records — they may be relevant if a complaint is made about historical practices.</w:t>
            </w:r>
          </w:p>
        </w:tc>
      </w:tr>
    </w:tbl>
    <w:p w14:paraId="61EDFBEC" w14:textId="77777777" w:rsidR="004D1E21" w:rsidRDefault="004D1E21">
      <w:pPr>
        <w:spacing w:after="0"/>
        <w:rPr>
          <w:b/>
          <w:bCs/>
          <w:color w:val="0F2D52"/>
          <w:kern w:val="32"/>
          <w:sz w:val="32"/>
          <w:szCs w:val="32"/>
        </w:rPr>
      </w:pPr>
      <w:bookmarkStart w:id="231" w:name="_Toc220069951"/>
      <w:bookmarkStart w:id="232" w:name="_Toc220655106"/>
      <w:r>
        <w:br w:type="page"/>
      </w:r>
    </w:p>
    <w:p w14:paraId="749B2F31" w14:textId="6B51C776" w:rsidR="005776EE" w:rsidRDefault="005776EE" w:rsidP="00A82687">
      <w:pPr>
        <w:pStyle w:val="NumberedHeading1"/>
      </w:pPr>
      <w:bookmarkStart w:id="233" w:name="_Toc231895193"/>
      <w:r>
        <w:lastRenderedPageBreak/>
        <w:t>Collection Notices</w:t>
      </w:r>
      <w:bookmarkEnd w:id="231"/>
      <w:bookmarkEnd w:id="232"/>
      <w:bookmarkEnd w:id="233"/>
    </w:p>
    <w:p w14:paraId="006E5FEB" w14:textId="11B42432" w:rsidR="005776EE" w:rsidRDefault="005776EE" w:rsidP="00A30EAA">
      <w:pPr>
        <w:pStyle w:val="Body"/>
      </w:pPr>
      <w:r>
        <w:t>While the privacy policy provides general information about your firm's privacy practices, collection notices provide specific information to individuals at the point of collection. APP 5 requires notification at or before the time personal information is collected, or as soon as practicable afterwards.</w:t>
      </w:r>
      <w:r>
        <w:rPr>
          <w:rStyle w:val="FootnoteReference"/>
        </w:rPr>
        <w:footnoteReference w:id="123"/>
      </w:r>
      <w:r>
        <w:t xml:space="preserve"> This chapter explains how to use the collection notice template in Document 02.</w:t>
      </w:r>
    </w:p>
    <w:p w14:paraId="3180795B" w14:textId="1486F0FB" w:rsidR="004D71C5" w:rsidRDefault="004D71C5" w:rsidP="00A30EAA">
      <w:pPr>
        <w:pStyle w:val="Body"/>
      </w:pPr>
      <w:r>
        <w:t>The template also explains the background of the AML regime and why your firm is required to collect the information you are requesting.</w:t>
      </w:r>
    </w:p>
    <w:p w14:paraId="25626A41" w14:textId="779DBF53" w:rsidR="005776EE" w:rsidRDefault="005776EE" w:rsidP="00A30EAA">
      <w:pPr>
        <w:pStyle w:val="NumberedHeading2"/>
      </w:pPr>
      <w:bookmarkStart w:id="234" w:name="_Toc220069952"/>
      <w:bookmarkStart w:id="235" w:name="_Toc220655107"/>
      <w:bookmarkStart w:id="236" w:name="_Toc231895194"/>
      <w:r>
        <w:t>When Collection Notices Are Required</w:t>
      </w:r>
      <w:bookmarkEnd w:id="234"/>
      <w:bookmarkEnd w:id="235"/>
      <w:bookmarkEnd w:id="236"/>
    </w:p>
    <w:p w14:paraId="4B92F5B6" w14:textId="7B7528DB" w:rsidR="005776EE" w:rsidRDefault="005776EE" w:rsidP="00A30EAA">
      <w:pPr>
        <w:pStyle w:val="Body"/>
      </w:pPr>
      <w:r>
        <w:t xml:space="preserve">Collection notices are required whenever you collect personal information, unless the individual has already been made aware of the relevant matters. The trigger is collection, not the commencement of a formal </w:t>
      </w:r>
      <w:r w:rsidR="00DB6CB1">
        <w:t>retainer</w:t>
      </w:r>
      <w:r>
        <w:t>.</w:t>
      </w:r>
    </w:p>
    <w:p w14:paraId="2142230E" w14:textId="10B5EB32" w:rsidR="00D01178" w:rsidRDefault="00D01178" w:rsidP="00A30EAA">
      <w:pPr>
        <w:pStyle w:val="Body"/>
      </w:pPr>
      <w:r>
        <w:t xml:space="preserve">Given that many firms will conduct Client Due Diligence prior to </w:t>
      </w:r>
      <w:r w:rsidR="009E32BE">
        <w:t>costs disclosure and formal acceptance of the client and matter a separate notice may be required</w:t>
      </w:r>
      <w:r w:rsidR="00AF08BD">
        <w:t xml:space="preserve"> rather than leaving it to the retainers.</w:t>
      </w:r>
    </w:p>
    <w:p w14:paraId="0DCC5A6B" w14:textId="2B3BDDE7" w:rsidR="00DB6CB1" w:rsidRDefault="00DB6CB1" w:rsidP="00A30EAA">
      <w:pPr>
        <w:pStyle w:val="Body"/>
      </w:pPr>
      <w:r>
        <w:t xml:space="preserve">We may also need to give Collection notices if </w:t>
      </w:r>
      <w:r w:rsidR="00C77118">
        <w:t>information is obtained from / about parties who are not clients.</w:t>
      </w:r>
    </w:p>
    <w:p w14:paraId="5FE93200" w14:textId="77777777" w:rsidR="005776EE" w:rsidRDefault="005776EE" w:rsidP="00A30EAA">
      <w:pPr>
        <w:pStyle w:val="Body"/>
      </w:pPr>
      <w:r>
        <w:t>For law firms, collection typically occurs when:</w:t>
      </w:r>
    </w:p>
    <w:p w14:paraId="10301B4B" w14:textId="27359667" w:rsidR="005776EE" w:rsidRPr="007E650E" w:rsidRDefault="005776EE" w:rsidP="00A30EAA">
      <w:pPr>
        <w:pStyle w:val="ListParagraph"/>
      </w:pPr>
      <w:r w:rsidRPr="007E650E">
        <w:t>A new client provides their details (initial enquiry or engagement);</w:t>
      </w:r>
    </w:p>
    <w:p w14:paraId="2093D84D" w14:textId="0471ADC4" w:rsidR="005776EE" w:rsidRPr="007E650E" w:rsidRDefault="005776EE" w:rsidP="00A30EAA">
      <w:pPr>
        <w:pStyle w:val="ListParagraph"/>
      </w:pPr>
      <w:r w:rsidRPr="007E650E">
        <w:t>Identity documents are collected for AML/CTF purposes;</w:t>
      </w:r>
    </w:p>
    <w:p w14:paraId="62DDC375" w14:textId="335B61D1" w:rsidR="005776EE" w:rsidRPr="007E650E" w:rsidRDefault="005776EE" w:rsidP="00A30EAA">
      <w:pPr>
        <w:pStyle w:val="ListParagraph"/>
      </w:pPr>
      <w:r w:rsidRPr="007E650E">
        <w:t>Information about third parties (beneficial owners, witnesses, other parties) is collected;</w:t>
      </w:r>
    </w:p>
    <w:p w14:paraId="70A05643" w14:textId="729A1DB0" w:rsidR="005776EE" w:rsidRPr="007E650E" w:rsidRDefault="005776EE" w:rsidP="00A30EAA">
      <w:pPr>
        <w:pStyle w:val="ListParagraph"/>
      </w:pPr>
      <w:r w:rsidRPr="007E650E">
        <w:t>Someone completes a contact form on your website;</w:t>
      </w:r>
    </w:p>
    <w:p w14:paraId="521A44B8" w14:textId="0E3BCA23" w:rsidR="005776EE" w:rsidRPr="007E650E" w:rsidRDefault="005776EE" w:rsidP="00A30EAA">
      <w:pPr>
        <w:pStyle w:val="ListParagraph"/>
      </w:pPr>
      <w:r w:rsidRPr="007E650E">
        <w:t>Employee or job applicant information is collected.</w:t>
      </w:r>
      <w:r w:rsidR="004D71C5">
        <w:t xml:space="preserve"> (Only some applicant information is regulated, typically that collected for staff due diligence and background checks.)</w:t>
      </w:r>
    </w:p>
    <w:p w14:paraId="015B4BA9" w14:textId="77777777" w:rsidR="004D1E21" w:rsidRDefault="004D1E21">
      <w:pPr>
        <w:spacing w:after="0"/>
        <w:rPr>
          <w:b/>
          <w:bCs/>
          <w:iCs/>
          <w:color w:val="0F2D52"/>
          <w:sz w:val="28"/>
          <w:szCs w:val="28"/>
        </w:rPr>
      </w:pPr>
      <w:bookmarkStart w:id="237" w:name="_Toc220069953"/>
      <w:bookmarkStart w:id="238" w:name="_Toc220655108"/>
      <w:r>
        <w:br w:type="page"/>
      </w:r>
    </w:p>
    <w:p w14:paraId="54CB34C3" w14:textId="0EF69816" w:rsidR="005776EE" w:rsidRDefault="005776EE" w:rsidP="00A30EAA">
      <w:pPr>
        <w:pStyle w:val="NumberedHeading2"/>
      </w:pPr>
      <w:bookmarkStart w:id="239" w:name="_Toc231895195"/>
      <w:r>
        <w:lastRenderedPageBreak/>
        <w:t>Required Content of Collection Notices</w:t>
      </w:r>
      <w:bookmarkEnd w:id="237"/>
      <w:bookmarkEnd w:id="238"/>
      <w:bookmarkEnd w:id="239"/>
    </w:p>
    <w:p w14:paraId="12B40897" w14:textId="77777777" w:rsidR="005776EE" w:rsidRDefault="005776EE" w:rsidP="00A30EAA">
      <w:pPr>
        <w:pStyle w:val="Body"/>
      </w:pPr>
      <w:r>
        <w:t>APP 5.2 specifies nine matters that must be notified at or before the time of collection:</w:t>
      </w:r>
      <w:r>
        <w:rPr>
          <w:rStyle w:val="FootnoteReference"/>
        </w:rPr>
        <w:footnoteReference w:id="124"/>
      </w:r>
    </w:p>
    <w:tbl>
      <w:tblPr>
        <w:tblW w:w="5000" w:type="pct"/>
        <w:tblCellMar>
          <w:left w:w="10" w:type="dxa"/>
          <w:right w:w="10" w:type="dxa"/>
        </w:tblCellMar>
        <w:tblLook w:val="04A0" w:firstRow="1" w:lastRow="0" w:firstColumn="1" w:lastColumn="0" w:noHBand="0" w:noVBand="1"/>
      </w:tblPr>
      <w:tblGrid>
        <w:gridCol w:w="3500"/>
        <w:gridCol w:w="5526"/>
      </w:tblGrid>
      <w:tr w:rsidR="005776EE" w14:paraId="5A11DD75" w14:textId="77777777" w:rsidTr="00A9333C">
        <w:tc>
          <w:tcPr>
            <w:tcW w:w="3500" w:type="dxa"/>
            <w:shd w:val="clear" w:color="auto" w:fill="0F2D52"/>
            <w:tcMar>
              <w:top w:w="100" w:type="dxa"/>
              <w:left w:w="120" w:type="dxa"/>
              <w:bottom w:w="100" w:type="dxa"/>
              <w:right w:w="120" w:type="dxa"/>
            </w:tcMar>
          </w:tcPr>
          <w:p w14:paraId="1FBA43FA" w14:textId="77777777" w:rsidR="005776EE" w:rsidRPr="00C77118" w:rsidRDefault="005776EE" w:rsidP="007E650E">
            <w:pPr>
              <w:pStyle w:val="TableHeading"/>
            </w:pPr>
            <w:r w:rsidRPr="00C77118">
              <w:t>Required Matter (APP 5.2)</w:t>
            </w:r>
          </w:p>
        </w:tc>
        <w:tc>
          <w:tcPr>
            <w:tcW w:w="5526" w:type="dxa"/>
            <w:shd w:val="clear" w:color="auto" w:fill="0F2D52"/>
            <w:tcMar>
              <w:top w:w="100" w:type="dxa"/>
              <w:left w:w="120" w:type="dxa"/>
              <w:bottom w:w="100" w:type="dxa"/>
              <w:right w:w="120" w:type="dxa"/>
            </w:tcMar>
          </w:tcPr>
          <w:p w14:paraId="47CE8D5C" w14:textId="77777777" w:rsidR="005776EE" w:rsidRPr="00C77118" w:rsidRDefault="005776EE" w:rsidP="007E650E">
            <w:pPr>
              <w:pStyle w:val="TableHeading"/>
            </w:pPr>
            <w:r w:rsidRPr="00C77118">
              <w:t>What This Means for Law Firms</w:t>
            </w:r>
          </w:p>
        </w:tc>
      </w:tr>
      <w:tr w:rsidR="005776EE" w14:paraId="7098E43A" w14:textId="77777777" w:rsidTr="00A9333C">
        <w:tc>
          <w:tcPr>
            <w:tcW w:w="3500" w:type="dxa"/>
            <w:tcBorders>
              <w:bottom w:val="single" w:sz="4" w:space="0" w:color="auto"/>
            </w:tcBorders>
            <w:tcMar>
              <w:top w:w="100" w:type="dxa"/>
              <w:left w:w="120" w:type="dxa"/>
              <w:bottom w:w="100" w:type="dxa"/>
              <w:right w:w="120" w:type="dxa"/>
            </w:tcMar>
          </w:tcPr>
          <w:p w14:paraId="7A69C5F0" w14:textId="77777777" w:rsidR="005776EE" w:rsidRDefault="005776EE" w:rsidP="007E650E">
            <w:pPr>
              <w:pStyle w:val="Tablecontent"/>
            </w:pPr>
            <w:r>
              <w:t>(a) Entity's identity and contact details</w:t>
            </w:r>
          </w:p>
        </w:tc>
        <w:tc>
          <w:tcPr>
            <w:tcW w:w="5526" w:type="dxa"/>
            <w:tcBorders>
              <w:bottom w:val="single" w:sz="4" w:space="0" w:color="auto"/>
            </w:tcBorders>
            <w:tcMar>
              <w:top w:w="100" w:type="dxa"/>
              <w:left w:w="120" w:type="dxa"/>
              <w:bottom w:w="100" w:type="dxa"/>
              <w:right w:w="120" w:type="dxa"/>
            </w:tcMar>
          </w:tcPr>
          <w:p w14:paraId="46DB92BB" w14:textId="77777777" w:rsidR="005776EE" w:rsidRDefault="005776EE" w:rsidP="007E650E">
            <w:pPr>
              <w:pStyle w:val="Tablecontent"/>
            </w:pPr>
            <w:r>
              <w:t>Your firm's name, address, and contact information</w:t>
            </w:r>
          </w:p>
        </w:tc>
      </w:tr>
      <w:tr w:rsidR="005776EE" w14:paraId="01EF4D77" w14:textId="77777777" w:rsidTr="00A9333C">
        <w:tc>
          <w:tcPr>
            <w:tcW w:w="3500" w:type="dxa"/>
            <w:tcBorders>
              <w:top w:val="single" w:sz="4" w:space="0" w:color="auto"/>
              <w:bottom w:val="single" w:sz="4" w:space="0" w:color="auto"/>
            </w:tcBorders>
            <w:tcMar>
              <w:top w:w="100" w:type="dxa"/>
              <w:left w:w="120" w:type="dxa"/>
              <w:bottom w:w="100" w:type="dxa"/>
              <w:right w:w="120" w:type="dxa"/>
            </w:tcMar>
          </w:tcPr>
          <w:p w14:paraId="34786C2C" w14:textId="77777777" w:rsidR="005776EE" w:rsidRDefault="005776EE" w:rsidP="007E650E">
            <w:pPr>
              <w:pStyle w:val="Tablecontent"/>
            </w:pPr>
            <w:r>
              <w:t>(b) Collection from third party: fact and circumstances</w:t>
            </w:r>
          </w:p>
        </w:tc>
        <w:tc>
          <w:tcPr>
            <w:tcW w:w="5526" w:type="dxa"/>
            <w:tcBorders>
              <w:top w:val="single" w:sz="4" w:space="0" w:color="auto"/>
              <w:bottom w:val="single" w:sz="4" w:space="0" w:color="auto"/>
            </w:tcBorders>
            <w:tcMar>
              <w:top w:w="100" w:type="dxa"/>
              <w:left w:w="120" w:type="dxa"/>
              <w:bottom w:w="100" w:type="dxa"/>
              <w:right w:w="120" w:type="dxa"/>
            </w:tcMar>
          </w:tcPr>
          <w:p w14:paraId="0ADAAB6E" w14:textId="77777777" w:rsidR="005776EE" w:rsidRDefault="005776EE" w:rsidP="007E650E">
            <w:pPr>
              <w:pStyle w:val="Tablecontent"/>
            </w:pPr>
            <w:r>
              <w:t>If information is obtained from someone other than the individual (e.g., beneficial owner info from company director), explain this</w:t>
            </w:r>
          </w:p>
        </w:tc>
      </w:tr>
      <w:tr w:rsidR="005776EE" w14:paraId="10914828" w14:textId="77777777" w:rsidTr="00A9333C">
        <w:tc>
          <w:tcPr>
            <w:tcW w:w="3500" w:type="dxa"/>
            <w:tcBorders>
              <w:top w:val="single" w:sz="4" w:space="0" w:color="auto"/>
              <w:bottom w:val="single" w:sz="4" w:space="0" w:color="auto"/>
            </w:tcBorders>
            <w:tcMar>
              <w:top w:w="100" w:type="dxa"/>
              <w:left w:w="120" w:type="dxa"/>
              <w:bottom w:w="100" w:type="dxa"/>
              <w:right w:w="120" w:type="dxa"/>
            </w:tcMar>
          </w:tcPr>
          <w:p w14:paraId="547B920A" w14:textId="77777777" w:rsidR="005776EE" w:rsidRDefault="005776EE" w:rsidP="007E650E">
            <w:pPr>
              <w:pStyle w:val="Tablecontent"/>
            </w:pPr>
            <w:r>
              <w:t>(c) Collection required by law: the law and fact of requirement</w:t>
            </w:r>
          </w:p>
        </w:tc>
        <w:tc>
          <w:tcPr>
            <w:tcW w:w="5526" w:type="dxa"/>
            <w:tcBorders>
              <w:top w:val="single" w:sz="4" w:space="0" w:color="auto"/>
              <w:bottom w:val="single" w:sz="4" w:space="0" w:color="auto"/>
            </w:tcBorders>
            <w:tcMar>
              <w:top w:w="100" w:type="dxa"/>
              <w:left w:w="120" w:type="dxa"/>
              <w:bottom w:w="100" w:type="dxa"/>
              <w:right w:w="120" w:type="dxa"/>
            </w:tcMar>
          </w:tcPr>
          <w:p w14:paraId="239E723D" w14:textId="77777777" w:rsidR="005776EE" w:rsidRDefault="005776EE" w:rsidP="007E650E">
            <w:pPr>
              <w:pStyle w:val="Tablecontent"/>
            </w:pPr>
            <w:r>
              <w:t>For AML/CTF collection, identify the AML/CTF Act as requiring the collection</w:t>
            </w:r>
          </w:p>
        </w:tc>
      </w:tr>
      <w:tr w:rsidR="005776EE" w14:paraId="00931D6E" w14:textId="77777777" w:rsidTr="00A9333C">
        <w:tc>
          <w:tcPr>
            <w:tcW w:w="3500" w:type="dxa"/>
            <w:tcBorders>
              <w:top w:val="single" w:sz="4" w:space="0" w:color="auto"/>
              <w:bottom w:val="single" w:sz="4" w:space="0" w:color="auto"/>
            </w:tcBorders>
            <w:tcMar>
              <w:top w:w="100" w:type="dxa"/>
              <w:left w:w="120" w:type="dxa"/>
              <w:bottom w:w="100" w:type="dxa"/>
              <w:right w:w="120" w:type="dxa"/>
            </w:tcMar>
          </w:tcPr>
          <w:p w14:paraId="3089F0A3" w14:textId="77777777" w:rsidR="005776EE" w:rsidRDefault="005776EE" w:rsidP="007E650E">
            <w:pPr>
              <w:pStyle w:val="Tablecontent"/>
            </w:pPr>
            <w:r>
              <w:t>(d) Purposes of collection</w:t>
            </w:r>
          </w:p>
        </w:tc>
        <w:tc>
          <w:tcPr>
            <w:tcW w:w="5526" w:type="dxa"/>
            <w:tcBorders>
              <w:top w:val="single" w:sz="4" w:space="0" w:color="auto"/>
              <w:bottom w:val="single" w:sz="4" w:space="0" w:color="auto"/>
            </w:tcBorders>
            <w:tcMar>
              <w:top w:w="100" w:type="dxa"/>
              <w:left w:w="120" w:type="dxa"/>
              <w:bottom w:w="100" w:type="dxa"/>
              <w:right w:w="120" w:type="dxa"/>
            </w:tcMar>
          </w:tcPr>
          <w:p w14:paraId="36E16958" w14:textId="77777777" w:rsidR="005776EE" w:rsidRDefault="005776EE" w:rsidP="007E650E">
            <w:pPr>
              <w:pStyle w:val="Tablecontent"/>
            </w:pPr>
            <w:r>
              <w:t>Explain why you are collecting the information (legal services, AML/CTF compliance, etc.)</w:t>
            </w:r>
          </w:p>
        </w:tc>
      </w:tr>
      <w:tr w:rsidR="005776EE" w14:paraId="21133A1B" w14:textId="77777777" w:rsidTr="00A9333C">
        <w:tc>
          <w:tcPr>
            <w:tcW w:w="3500" w:type="dxa"/>
            <w:tcBorders>
              <w:top w:val="single" w:sz="4" w:space="0" w:color="auto"/>
              <w:bottom w:val="single" w:sz="4" w:space="0" w:color="auto"/>
            </w:tcBorders>
            <w:tcMar>
              <w:top w:w="100" w:type="dxa"/>
              <w:left w:w="120" w:type="dxa"/>
              <w:bottom w:w="100" w:type="dxa"/>
              <w:right w:w="120" w:type="dxa"/>
            </w:tcMar>
          </w:tcPr>
          <w:p w14:paraId="26DCAAE0" w14:textId="77777777" w:rsidR="005776EE" w:rsidRDefault="005776EE" w:rsidP="007E650E">
            <w:pPr>
              <w:pStyle w:val="Tablecontent"/>
            </w:pPr>
            <w:r>
              <w:t>(e) Consequences if not collected</w:t>
            </w:r>
          </w:p>
        </w:tc>
        <w:tc>
          <w:tcPr>
            <w:tcW w:w="5526" w:type="dxa"/>
            <w:tcBorders>
              <w:top w:val="single" w:sz="4" w:space="0" w:color="auto"/>
              <w:bottom w:val="single" w:sz="4" w:space="0" w:color="auto"/>
            </w:tcBorders>
            <w:tcMar>
              <w:top w:w="100" w:type="dxa"/>
              <w:left w:w="120" w:type="dxa"/>
              <w:bottom w:w="100" w:type="dxa"/>
              <w:right w:w="120" w:type="dxa"/>
            </w:tcMar>
          </w:tcPr>
          <w:p w14:paraId="7A9429C4" w14:textId="77777777" w:rsidR="005776EE" w:rsidRDefault="005776EE" w:rsidP="007E650E">
            <w:pPr>
              <w:pStyle w:val="Tablecontent"/>
            </w:pPr>
            <w:r>
              <w:t>Explain what happens if information is not provided (e.g., cannot provide services, cannot proceed with transaction)</w:t>
            </w:r>
          </w:p>
        </w:tc>
      </w:tr>
      <w:tr w:rsidR="005776EE" w14:paraId="7C5CF2D8" w14:textId="77777777" w:rsidTr="00A9333C">
        <w:tc>
          <w:tcPr>
            <w:tcW w:w="3500" w:type="dxa"/>
            <w:tcBorders>
              <w:top w:val="single" w:sz="4" w:space="0" w:color="auto"/>
              <w:bottom w:val="single" w:sz="4" w:space="0" w:color="auto"/>
            </w:tcBorders>
            <w:tcMar>
              <w:top w:w="100" w:type="dxa"/>
              <w:left w:w="120" w:type="dxa"/>
              <w:bottom w:w="100" w:type="dxa"/>
              <w:right w:w="120" w:type="dxa"/>
            </w:tcMar>
          </w:tcPr>
          <w:p w14:paraId="79A8DD45" w14:textId="77777777" w:rsidR="005776EE" w:rsidRDefault="005776EE" w:rsidP="007E650E">
            <w:pPr>
              <w:pStyle w:val="Tablecontent"/>
            </w:pPr>
            <w:r>
              <w:t>(f) Usual disclosure recipients</w:t>
            </w:r>
          </w:p>
        </w:tc>
        <w:tc>
          <w:tcPr>
            <w:tcW w:w="5526" w:type="dxa"/>
            <w:tcBorders>
              <w:top w:val="single" w:sz="4" w:space="0" w:color="auto"/>
              <w:bottom w:val="single" w:sz="4" w:space="0" w:color="auto"/>
            </w:tcBorders>
            <w:tcMar>
              <w:top w:w="100" w:type="dxa"/>
              <w:left w:w="120" w:type="dxa"/>
              <w:bottom w:w="100" w:type="dxa"/>
              <w:right w:w="120" w:type="dxa"/>
            </w:tcMar>
          </w:tcPr>
          <w:p w14:paraId="5E3D9A7F" w14:textId="77777777" w:rsidR="005776EE" w:rsidRDefault="005776EE" w:rsidP="007E650E">
            <w:pPr>
              <w:pStyle w:val="Tablecontent"/>
            </w:pPr>
            <w:r>
              <w:t>Categories of third parties who typically receive the information (courts, regulators, other parties, etc.)</w:t>
            </w:r>
          </w:p>
        </w:tc>
      </w:tr>
      <w:tr w:rsidR="005776EE" w14:paraId="077D82C5" w14:textId="77777777" w:rsidTr="00A9333C">
        <w:tc>
          <w:tcPr>
            <w:tcW w:w="3500" w:type="dxa"/>
            <w:tcBorders>
              <w:top w:val="single" w:sz="4" w:space="0" w:color="auto"/>
              <w:bottom w:val="single" w:sz="4" w:space="0" w:color="auto"/>
            </w:tcBorders>
            <w:tcMar>
              <w:top w:w="100" w:type="dxa"/>
              <w:left w:w="120" w:type="dxa"/>
              <w:bottom w:w="100" w:type="dxa"/>
              <w:right w:w="120" w:type="dxa"/>
            </w:tcMar>
          </w:tcPr>
          <w:p w14:paraId="14DD3A36" w14:textId="77777777" w:rsidR="005776EE" w:rsidRDefault="005776EE" w:rsidP="007E650E">
            <w:pPr>
              <w:pStyle w:val="Tablecontent"/>
            </w:pPr>
            <w:r>
              <w:t>(g) Privacy policy contains access/correction information</w:t>
            </w:r>
          </w:p>
        </w:tc>
        <w:tc>
          <w:tcPr>
            <w:tcW w:w="5526" w:type="dxa"/>
            <w:tcBorders>
              <w:top w:val="single" w:sz="4" w:space="0" w:color="auto"/>
              <w:bottom w:val="single" w:sz="4" w:space="0" w:color="auto"/>
            </w:tcBorders>
            <w:tcMar>
              <w:top w:w="100" w:type="dxa"/>
              <w:left w:w="120" w:type="dxa"/>
              <w:bottom w:w="100" w:type="dxa"/>
              <w:right w:w="120" w:type="dxa"/>
            </w:tcMar>
          </w:tcPr>
          <w:p w14:paraId="060EF945" w14:textId="77777777" w:rsidR="005776EE" w:rsidRDefault="005776EE" w:rsidP="007E650E">
            <w:pPr>
              <w:pStyle w:val="Tablecontent"/>
            </w:pPr>
            <w:r>
              <w:t>Direct individuals to your privacy policy for information about access and correction rights</w:t>
            </w:r>
          </w:p>
        </w:tc>
      </w:tr>
      <w:tr w:rsidR="005776EE" w14:paraId="38A7CA09" w14:textId="77777777" w:rsidTr="00A9333C">
        <w:tc>
          <w:tcPr>
            <w:tcW w:w="3500" w:type="dxa"/>
            <w:tcBorders>
              <w:top w:val="single" w:sz="4" w:space="0" w:color="auto"/>
              <w:bottom w:val="single" w:sz="4" w:space="0" w:color="auto"/>
            </w:tcBorders>
            <w:tcMar>
              <w:top w:w="100" w:type="dxa"/>
              <w:left w:w="120" w:type="dxa"/>
              <w:bottom w:w="100" w:type="dxa"/>
              <w:right w:w="120" w:type="dxa"/>
            </w:tcMar>
          </w:tcPr>
          <w:p w14:paraId="750E639B" w14:textId="77777777" w:rsidR="005776EE" w:rsidRDefault="005776EE" w:rsidP="007E650E">
            <w:pPr>
              <w:pStyle w:val="Tablecontent"/>
            </w:pPr>
            <w:r>
              <w:t>(h) Privacy policy contains complaints information</w:t>
            </w:r>
          </w:p>
        </w:tc>
        <w:tc>
          <w:tcPr>
            <w:tcW w:w="5526" w:type="dxa"/>
            <w:tcBorders>
              <w:top w:val="single" w:sz="4" w:space="0" w:color="auto"/>
              <w:bottom w:val="single" w:sz="4" w:space="0" w:color="auto"/>
            </w:tcBorders>
            <w:tcMar>
              <w:top w:w="100" w:type="dxa"/>
              <w:left w:w="120" w:type="dxa"/>
              <w:bottom w:w="100" w:type="dxa"/>
              <w:right w:w="120" w:type="dxa"/>
            </w:tcMar>
          </w:tcPr>
          <w:p w14:paraId="4410194F" w14:textId="77777777" w:rsidR="005776EE" w:rsidRDefault="005776EE" w:rsidP="007E650E">
            <w:pPr>
              <w:pStyle w:val="Tablecontent"/>
            </w:pPr>
            <w:r>
              <w:t>Direct individuals to your privacy policy for information about making complaints</w:t>
            </w:r>
          </w:p>
        </w:tc>
      </w:tr>
      <w:tr w:rsidR="005776EE" w14:paraId="1268B377" w14:textId="77777777" w:rsidTr="00A9333C">
        <w:tc>
          <w:tcPr>
            <w:tcW w:w="3500" w:type="dxa"/>
            <w:tcBorders>
              <w:top w:val="single" w:sz="4" w:space="0" w:color="auto"/>
              <w:bottom w:val="single" w:sz="4" w:space="0" w:color="auto"/>
            </w:tcBorders>
            <w:tcMar>
              <w:top w:w="100" w:type="dxa"/>
              <w:left w:w="120" w:type="dxa"/>
              <w:bottom w:w="100" w:type="dxa"/>
              <w:right w:w="120" w:type="dxa"/>
            </w:tcMar>
          </w:tcPr>
          <w:p w14:paraId="17FE890C" w14:textId="77777777" w:rsidR="005776EE" w:rsidRDefault="005776EE" w:rsidP="007E650E">
            <w:pPr>
              <w:pStyle w:val="Tablecontent"/>
            </w:pPr>
            <w:r>
              <w:t>(</w:t>
            </w:r>
            <w:proofErr w:type="spellStart"/>
            <w:r>
              <w:t>i</w:t>
            </w:r>
            <w:proofErr w:type="spellEnd"/>
            <w:r>
              <w:t>) Overseas disclosure: countries if known</w:t>
            </w:r>
          </w:p>
        </w:tc>
        <w:tc>
          <w:tcPr>
            <w:tcW w:w="5526" w:type="dxa"/>
            <w:tcBorders>
              <w:top w:val="single" w:sz="4" w:space="0" w:color="auto"/>
              <w:bottom w:val="single" w:sz="4" w:space="0" w:color="auto"/>
            </w:tcBorders>
            <w:tcMar>
              <w:top w:w="100" w:type="dxa"/>
              <w:left w:w="120" w:type="dxa"/>
              <w:bottom w:w="100" w:type="dxa"/>
              <w:right w:w="120" w:type="dxa"/>
            </w:tcMar>
          </w:tcPr>
          <w:p w14:paraId="1ADC59AB" w14:textId="77777777" w:rsidR="005776EE" w:rsidRDefault="005776EE" w:rsidP="007E650E">
            <w:pPr>
              <w:pStyle w:val="Tablecontent"/>
            </w:pPr>
            <w:r>
              <w:t>If information may be disclosed overseas, identify the countries (or state that countries are not known)</w:t>
            </w:r>
          </w:p>
        </w:tc>
      </w:tr>
    </w:tbl>
    <w:p w14:paraId="4B82DC26" w14:textId="191AA582" w:rsidR="005776EE" w:rsidRDefault="005776EE" w:rsidP="00A30EAA">
      <w:pPr>
        <w:pStyle w:val="NumberedHeading2"/>
      </w:pPr>
      <w:bookmarkStart w:id="240" w:name="_Toc220069954"/>
      <w:bookmarkStart w:id="241" w:name="_Toc220655109"/>
      <w:bookmarkStart w:id="242" w:name="_Toc231895196"/>
      <w:r>
        <w:t>Using the Collection Notice Templat</w:t>
      </w:r>
      <w:bookmarkEnd w:id="240"/>
      <w:bookmarkEnd w:id="241"/>
      <w:r w:rsidR="002662A9">
        <w:t>e</w:t>
      </w:r>
      <w:bookmarkEnd w:id="242"/>
    </w:p>
    <w:p w14:paraId="210672D9" w14:textId="15C75926" w:rsidR="001B53C5" w:rsidRPr="007E650E" w:rsidRDefault="001B53C5" w:rsidP="00A30EAA">
      <w:pPr>
        <w:pStyle w:val="Body"/>
        <w:rPr>
          <w:b/>
          <w:bCs/>
          <w:iCs/>
          <w:color w:val="auto"/>
        </w:rPr>
      </w:pPr>
      <w:bookmarkStart w:id="243" w:name="_Toc220069960"/>
      <w:bookmarkStart w:id="244" w:name="_Toc220655110"/>
      <w:r w:rsidRPr="007E650E">
        <w:rPr>
          <w:color w:val="auto"/>
        </w:rPr>
        <w:t xml:space="preserve">The OAIC has a generic Collection Notice available: </w:t>
      </w:r>
      <w:hyperlink r:id="rId15" w:history="1">
        <w:r w:rsidR="00A00871" w:rsidRPr="007E650E">
          <w:rPr>
            <w:color w:val="0000FF"/>
            <w:u w:val="single"/>
          </w:rPr>
          <w:t>Template privacy collection notice for reporting entities under the Anti-Money Laundering and Counter-Terrorism Financing Act | OAIC</w:t>
        </w:r>
      </w:hyperlink>
    </w:p>
    <w:p w14:paraId="08093E71" w14:textId="3E065900" w:rsidR="00A00871" w:rsidRPr="00A00871" w:rsidRDefault="00A00871" w:rsidP="00A30EAA">
      <w:pPr>
        <w:pStyle w:val="Body"/>
      </w:pPr>
      <w:r>
        <w:t xml:space="preserve">QLS has adapted a version of this in the form of a client focused brochure. It also </w:t>
      </w:r>
      <w:r w:rsidR="00996072">
        <w:t xml:space="preserve">provides more context for clients why </w:t>
      </w:r>
      <w:r w:rsidR="007E0E03">
        <w:t>your firm is collecting certain information</w:t>
      </w:r>
      <w:r w:rsidR="00996072">
        <w:t>.</w:t>
      </w:r>
      <w:r w:rsidR="00344801">
        <w:t xml:space="preserve"> (Document 2)</w:t>
      </w:r>
    </w:p>
    <w:p w14:paraId="71B21FDA" w14:textId="679E8EF5" w:rsidR="005776EE" w:rsidRDefault="005776EE" w:rsidP="00A30EAA">
      <w:pPr>
        <w:pStyle w:val="NumberedHeading2"/>
      </w:pPr>
      <w:bookmarkStart w:id="245" w:name="_Toc231895197"/>
      <w:r>
        <w:t>Timing and Delivery</w:t>
      </w:r>
      <w:bookmarkEnd w:id="243"/>
      <w:bookmarkEnd w:id="244"/>
      <w:bookmarkEnd w:id="245"/>
    </w:p>
    <w:p w14:paraId="597CDBD0" w14:textId="3D033D76" w:rsidR="005776EE" w:rsidRDefault="005776EE" w:rsidP="00A30EAA">
      <w:pPr>
        <w:pStyle w:val="Body"/>
      </w:pPr>
      <w:r>
        <w:t xml:space="preserve">Collection notices should be provided </w:t>
      </w:r>
      <w:r>
        <w:rPr>
          <w:i/>
          <w:iCs/>
        </w:rPr>
        <w:t>at or before</w:t>
      </w:r>
      <w:r>
        <w:t xml:space="preserve"> the time of collection, or as soon as practicable afterwards.</w:t>
      </w:r>
      <w:r>
        <w:rPr>
          <w:rStyle w:val="FootnoteReference"/>
        </w:rPr>
        <w:footnoteReference w:id="125"/>
      </w:r>
      <w:r>
        <w:t xml:space="preserve"> </w:t>
      </w:r>
    </w:p>
    <w:p w14:paraId="2609B0E0" w14:textId="77777777" w:rsidR="005776EE" w:rsidRDefault="005776EE" w:rsidP="00A30EAA">
      <w:pPr>
        <w:pStyle w:val="Body"/>
      </w:pPr>
      <w:r>
        <w:t>Practical delivery methods include:</w:t>
      </w:r>
    </w:p>
    <w:p w14:paraId="62A829A4" w14:textId="7A1CCDEF" w:rsidR="008D4BF8" w:rsidRDefault="008D4BF8" w:rsidP="00A30EAA">
      <w:pPr>
        <w:pStyle w:val="ListParagraph"/>
      </w:pPr>
      <w:r>
        <w:t xml:space="preserve">Include in </w:t>
      </w:r>
      <w:r w:rsidR="00583430">
        <w:t>first letter</w:t>
      </w:r>
    </w:p>
    <w:p w14:paraId="5CD353F2" w14:textId="4BF0743D" w:rsidR="005776EE" w:rsidRDefault="005776EE" w:rsidP="00A30EAA">
      <w:pPr>
        <w:pStyle w:val="ListParagraph"/>
      </w:pPr>
      <w:r>
        <w:t xml:space="preserve">Include in engagement letter/costs agreement </w:t>
      </w:r>
    </w:p>
    <w:p w14:paraId="32484B33" w14:textId="5F73356C" w:rsidR="005776EE" w:rsidRDefault="005776EE" w:rsidP="00A30EAA">
      <w:pPr>
        <w:pStyle w:val="ListParagraph"/>
      </w:pPr>
      <w:r>
        <w:t xml:space="preserve">Provide with identity document request </w:t>
      </w:r>
    </w:p>
    <w:p w14:paraId="1A79A6AA" w14:textId="61D566FE" w:rsidR="005776EE" w:rsidRDefault="005776EE" w:rsidP="00A30EAA">
      <w:pPr>
        <w:pStyle w:val="ListParagraph"/>
      </w:pPr>
      <w:r>
        <w:t>Display on website forms;</w:t>
      </w:r>
    </w:p>
    <w:p w14:paraId="47FB9801" w14:textId="52DD1AA7" w:rsidR="005776EE" w:rsidRDefault="005776EE" w:rsidP="00A30EAA">
      <w:pPr>
        <w:pStyle w:val="ListParagraph"/>
      </w:pPr>
      <w:r>
        <w:t xml:space="preserve">Send by email when requesting </w:t>
      </w:r>
    </w:p>
    <w:p w14:paraId="0BA67100" w14:textId="16A75A08" w:rsidR="005776EE" w:rsidRDefault="005776EE" w:rsidP="00A30EAA">
      <w:pPr>
        <w:pStyle w:val="ListParagraph"/>
      </w:pPr>
      <w:r>
        <w:lastRenderedPageBreak/>
        <w:t xml:space="preserve">Provide to corporate client for distribution to beneficial owners </w:t>
      </w:r>
      <w:r>
        <w:br w:type="page"/>
      </w:r>
    </w:p>
    <w:p w14:paraId="2F0D83BA" w14:textId="69E82078" w:rsidR="00CC2676" w:rsidRDefault="005776EE" w:rsidP="00A82687">
      <w:pPr>
        <w:pStyle w:val="NumberedHeading1"/>
      </w:pPr>
      <w:bookmarkStart w:id="246" w:name="_Toc220069961"/>
      <w:bookmarkStart w:id="247" w:name="_Toc220655111"/>
      <w:bookmarkStart w:id="248" w:name="_Toc231895198"/>
      <w:r>
        <w:lastRenderedPageBreak/>
        <w:t>Information Management</w:t>
      </w:r>
      <w:bookmarkEnd w:id="246"/>
      <w:bookmarkEnd w:id="247"/>
      <w:bookmarkEnd w:id="248"/>
    </w:p>
    <w:p w14:paraId="29FC1C61" w14:textId="2D5EF5EE" w:rsidR="005776EE" w:rsidRDefault="005776EE" w:rsidP="00A30EAA">
      <w:pPr>
        <w:pStyle w:val="Body"/>
      </w:pPr>
      <w:r>
        <w:t>Effective privacy compliance requires knowing what personal information you hold, where it is stored, how long it must be retained, and when it should be destroyed. This chapter explains how to use Document 03 (Personal Information Inventory) and Document 04 (Data Retention Schedule) to establish systematic information management.</w:t>
      </w:r>
    </w:p>
    <w:p w14:paraId="47D977A0" w14:textId="442E9C42" w:rsidR="005776EE" w:rsidRDefault="005776EE" w:rsidP="00A30EAA">
      <w:pPr>
        <w:pStyle w:val="NumberedHeading2"/>
      </w:pPr>
      <w:bookmarkStart w:id="249" w:name="_Toc220069962"/>
      <w:bookmarkStart w:id="250" w:name="_Toc220655112"/>
      <w:bookmarkStart w:id="251" w:name="_Toc231895199"/>
      <w:r>
        <w:t>Personal Information Inventory (Document 03)</w:t>
      </w:r>
      <w:bookmarkEnd w:id="249"/>
      <w:bookmarkEnd w:id="250"/>
      <w:bookmarkEnd w:id="251"/>
    </w:p>
    <w:p w14:paraId="7CCF0C6A" w14:textId="77777777" w:rsidR="005776EE" w:rsidRDefault="005776EE" w:rsidP="00A30EAA">
      <w:pPr>
        <w:pStyle w:val="Body"/>
      </w:pPr>
      <w:r>
        <w:t>A personal information inventory is a register of the categories of personal information your firm holds, including where it is stored, how it is collected, and who has access to it. While not explicitly required by the APPs, maintaining an inventory is recognised by the OAIC as a foundational element of good privacy management.</w:t>
      </w:r>
      <w:r>
        <w:rPr>
          <w:rStyle w:val="FootnoteReference"/>
        </w:rPr>
        <w:footnoteReference w:id="126"/>
      </w:r>
    </w:p>
    <w:p w14:paraId="2E1C2FCD" w14:textId="77777777" w:rsidR="005776EE" w:rsidRDefault="005776EE" w:rsidP="00973158">
      <w:pPr>
        <w:pStyle w:val="Heading3"/>
      </w:pPr>
      <w:bookmarkStart w:id="252" w:name="_Toc220069963"/>
      <w:r>
        <w:t>Why maintain an inventory?</w:t>
      </w:r>
      <w:bookmarkEnd w:id="252"/>
    </w:p>
    <w:p w14:paraId="0422AD02" w14:textId="6B5D72BC" w:rsidR="00371B05" w:rsidRDefault="005776EE" w:rsidP="00A30EAA">
      <w:pPr>
        <w:pStyle w:val="Body"/>
      </w:pPr>
      <w:r>
        <w:t xml:space="preserve">An inventory </w:t>
      </w:r>
      <w:r w:rsidR="004376C0">
        <w:t>improves protection and – in the longer term – minimizes cost. It ensures that you don’t have multiple copies and sources of data breach in existence, and that you can focus protection eff</w:t>
      </w:r>
      <w:r w:rsidR="00EF73FB">
        <w:t>ectively on where it is needed most.</w:t>
      </w:r>
    </w:p>
    <w:p w14:paraId="6A9BDB79" w14:textId="6213317C" w:rsidR="00EF73FB" w:rsidRDefault="00EF73FB" w:rsidP="00A30EAA">
      <w:pPr>
        <w:pStyle w:val="Body"/>
      </w:pPr>
      <w:r>
        <w:t xml:space="preserve">Organizing your archive storage to quickly and easily manage destruction will also save a lot of work and </w:t>
      </w:r>
      <w:r w:rsidR="00C00966">
        <w:t xml:space="preserve">expense in the longer term. While we tend to think of electronic storage as essentially free it is not once you factor in the cost of </w:t>
      </w:r>
      <w:r w:rsidR="00E6699E">
        <w:t>sorting through it prior to destruction.</w:t>
      </w:r>
    </w:p>
    <w:p w14:paraId="016C10A4" w14:textId="77777777" w:rsidR="005776EE" w:rsidRDefault="005776EE" w:rsidP="00973158">
      <w:pPr>
        <w:pStyle w:val="Heading3"/>
      </w:pPr>
      <w:bookmarkStart w:id="253" w:name="_Toc220069964"/>
      <w:r>
        <w:t>Using the inventory template</w:t>
      </w:r>
      <w:bookmarkEnd w:id="253"/>
    </w:p>
    <w:p w14:paraId="185BC7AE" w14:textId="44677F91" w:rsidR="001C2437" w:rsidRDefault="002E39E6" w:rsidP="00A30EAA">
      <w:pPr>
        <w:pStyle w:val="Body"/>
      </w:pPr>
      <w:r>
        <w:t xml:space="preserve">The more complete this audit is, the better your overall outcome. However, for the purposes of initial compliance </w:t>
      </w:r>
      <w:r w:rsidR="001C2437">
        <w:t xml:space="preserve">a general overview of what you hold, where and why and where you hold it may be sufficient. </w:t>
      </w:r>
    </w:p>
    <w:p w14:paraId="29C7231E" w14:textId="02FBFE6A" w:rsidR="005776EE" w:rsidRDefault="005776EE" w:rsidP="00A30EAA">
      <w:pPr>
        <w:pStyle w:val="Body"/>
      </w:pPr>
      <w:r>
        <w:t>Document 03 provides a template with the following columns:</w:t>
      </w:r>
    </w:p>
    <w:tbl>
      <w:tblPr>
        <w:tblW w:w="5000" w:type="pct"/>
        <w:tblCellMar>
          <w:left w:w="10" w:type="dxa"/>
          <w:right w:w="10" w:type="dxa"/>
        </w:tblCellMar>
        <w:tblLook w:val="04A0" w:firstRow="1" w:lastRow="0" w:firstColumn="1" w:lastColumn="0" w:noHBand="0" w:noVBand="1"/>
      </w:tblPr>
      <w:tblGrid>
        <w:gridCol w:w="2500"/>
        <w:gridCol w:w="6526"/>
      </w:tblGrid>
      <w:tr w:rsidR="005776EE" w14:paraId="6E554BA1" w14:textId="77777777" w:rsidTr="00A9333C">
        <w:tc>
          <w:tcPr>
            <w:tcW w:w="2500" w:type="dxa"/>
            <w:shd w:val="clear" w:color="auto" w:fill="0F2D52"/>
            <w:tcMar>
              <w:top w:w="100" w:type="dxa"/>
              <w:left w:w="120" w:type="dxa"/>
              <w:bottom w:w="100" w:type="dxa"/>
              <w:right w:w="120" w:type="dxa"/>
            </w:tcMar>
          </w:tcPr>
          <w:p w14:paraId="579B10F0" w14:textId="77777777" w:rsidR="005776EE" w:rsidRPr="00CC2676" w:rsidRDefault="005776EE" w:rsidP="00961653">
            <w:pPr>
              <w:pStyle w:val="TableHeading"/>
            </w:pPr>
            <w:r w:rsidRPr="00CC2676">
              <w:t>Column</w:t>
            </w:r>
          </w:p>
        </w:tc>
        <w:tc>
          <w:tcPr>
            <w:tcW w:w="6526" w:type="dxa"/>
            <w:shd w:val="clear" w:color="auto" w:fill="0F2D52"/>
            <w:tcMar>
              <w:top w:w="100" w:type="dxa"/>
              <w:left w:w="120" w:type="dxa"/>
              <w:bottom w:w="100" w:type="dxa"/>
              <w:right w:w="120" w:type="dxa"/>
            </w:tcMar>
          </w:tcPr>
          <w:p w14:paraId="72E5A0C3" w14:textId="77777777" w:rsidR="005776EE" w:rsidRPr="00CC2676" w:rsidRDefault="005776EE" w:rsidP="00961653">
            <w:pPr>
              <w:pStyle w:val="TableHeading"/>
            </w:pPr>
            <w:r w:rsidRPr="00CC2676">
              <w:t>Description</w:t>
            </w:r>
          </w:p>
        </w:tc>
      </w:tr>
      <w:tr w:rsidR="005776EE" w14:paraId="45205C64" w14:textId="77777777" w:rsidTr="00A9333C">
        <w:tc>
          <w:tcPr>
            <w:tcW w:w="2500" w:type="dxa"/>
            <w:tcBorders>
              <w:bottom w:val="single" w:sz="4" w:space="0" w:color="auto"/>
            </w:tcBorders>
            <w:tcMar>
              <w:top w:w="100" w:type="dxa"/>
              <w:left w:w="120" w:type="dxa"/>
              <w:bottom w:w="100" w:type="dxa"/>
              <w:right w:w="120" w:type="dxa"/>
            </w:tcMar>
          </w:tcPr>
          <w:p w14:paraId="594343D1" w14:textId="77777777" w:rsidR="005776EE" w:rsidRDefault="005776EE" w:rsidP="00961653">
            <w:pPr>
              <w:pStyle w:val="Tablecontent"/>
            </w:pPr>
            <w:r>
              <w:t>Information Category</w:t>
            </w:r>
          </w:p>
        </w:tc>
        <w:tc>
          <w:tcPr>
            <w:tcW w:w="6526" w:type="dxa"/>
            <w:tcBorders>
              <w:bottom w:val="single" w:sz="4" w:space="0" w:color="auto"/>
            </w:tcBorders>
            <w:tcMar>
              <w:top w:w="100" w:type="dxa"/>
              <w:left w:w="120" w:type="dxa"/>
              <w:bottom w:w="100" w:type="dxa"/>
              <w:right w:w="120" w:type="dxa"/>
            </w:tcMar>
          </w:tcPr>
          <w:p w14:paraId="048D8B29" w14:textId="77777777" w:rsidR="005776EE" w:rsidRDefault="005776EE" w:rsidP="00961653">
            <w:pPr>
              <w:pStyle w:val="Tablecontent"/>
            </w:pPr>
            <w:r>
              <w:t>Type of personal information (e.g., 'Client identity documents', 'Beneficial owner information', 'Staff records')</w:t>
            </w:r>
          </w:p>
        </w:tc>
      </w:tr>
      <w:tr w:rsidR="005776EE" w14:paraId="4857260A" w14:textId="77777777" w:rsidTr="00A9333C">
        <w:tc>
          <w:tcPr>
            <w:tcW w:w="2500" w:type="dxa"/>
            <w:tcBorders>
              <w:top w:val="single" w:sz="4" w:space="0" w:color="auto"/>
              <w:bottom w:val="single" w:sz="4" w:space="0" w:color="auto"/>
            </w:tcBorders>
            <w:tcMar>
              <w:top w:w="100" w:type="dxa"/>
              <w:left w:w="120" w:type="dxa"/>
              <w:bottom w:w="100" w:type="dxa"/>
              <w:right w:w="120" w:type="dxa"/>
            </w:tcMar>
          </w:tcPr>
          <w:p w14:paraId="05854086" w14:textId="77777777" w:rsidR="005776EE" w:rsidRDefault="005776EE" w:rsidP="00961653">
            <w:pPr>
              <w:pStyle w:val="Tablecontent"/>
            </w:pPr>
            <w:r>
              <w:t>Data Elements</w:t>
            </w:r>
          </w:p>
        </w:tc>
        <w:tc>
          <w:tcPr>
            <w:tcW w:w="6526" w:type="dxa"/>
            <w:tcBorders>
              <w:top w:val="single" w:sz="4" w:space="0" w:color="auto"/>
              <w:bottom w:val="single" w:sz="4" w:space="0" w:color="auto"/>
            </w:tcBorders>
            <w:tcMar>
              <w:top w:w="100" w:type="dxa"/>
              <w:left w:w="120" w:type="dxa"/>
              <w:bottom w:w="100" w:type="dxa"/>
              <w:right w:w="120" w:type="dxa"/>
            </w:tcMar>
          </w:tcPr>
          <w:p w14:paraId="64090023" w14:textId="77777777" w:rsidR="005776EE" w:rsidRDefault="005776EE" w:rsidP="00961653">
            <w:pPr>
              <w:pStyle w:val="Tablecontent"/>
            </w:pPr>
            <w:r>
              <w:t>Specific data items within the category (e.g., name, DOB, address, passport number)</w:t>
            </w:r>
          </w:p>
        </w:tc>
      </w:tr>
      <w:tr w:rsidR="005776EE" w14:paraId="01C20AE0" w14:textId="77777777" w:rsidTr="00A9333C">
        <w:tc>
          <w:tcPr>
            <w:tcW w:w="2500" w:type="dxa"/>
            <w:tcBorders>
              <w:top w:val="single" w:sz="4" w:space="0" w:color="auto"/>
              <w:bottom w:val="single" w:sz="4" w:space="0" w:color="auto"/>
            </w:tcBorders>
            <w:tcMar>
              <w:top w:w="100" w:type="dxa"/>
              <w:left w:w="120" w:type="dxa"/>
              <w:bottom w:w="100" w:type="dxa"/>
              <w:right w:w="120" w:type="dxa"/>
            </w:tcMar>
          </w:tcPr>
          <w:p w14:paraId="525B39FA" w14:textId="77777777" w:rsidR="005776EE" w:rsidRDefault="005776EE" w:rsidP="00961653">
            <w:pPr>
              <w:pStyle w:val="Tablecontent"/>
            </w:pPr>
            <w:r>
              <w:t>Source</w:t>
            </w:r>
          </w:p>
        </w:tc>
        <w:tc>
          <w:tcPr>
            <w:tcW w:w="6526" w:type="dxa"/>
            <w:tcBorders>
              <w:top w:val="single" w:sz="4" w:space="0" w:color="auto"/>
              <w:bottom w:val="single" w:sz="4" w:space="0" w:color="auto"/>
            </w:tcBorders>
            <w:tcMar>
              <w:top w:w="100" w:type="dxa"/>
              <w:left w:w="120" w:type="dxa"/>
              <w:bottom w:w="100" w:type="dxa"/>
              <w:right w:w="120" w:type="dxa"/>
            </w:tcMar>
          </w:tcPr>
          <w:p w14:paraId="10CC1EB0" w14:textId="77777777" w:rsidR="005776EE" w:rsidRDefault="005776EE" w:rsidP="00961653">
            <w:pPr>
              <w:pStyle w:val="Tablecontent"/>
            </w:pPr>
            <w:r>
              <w:t>How information is collected (e.g., directly from client, from company searches, from third parties)</w:t>
            </w:r>
          </w:p>
        </w:tc>
      </w:tr>
      <w:tr w:rsidR="005776EE" w14:paraId="74A500E8" w14:textId="77777777" w:rsidTr="00A9333C">
        <w:tc>
          <w:tcPr>
            <w:tcW w:w="2500" w:type="dxa"/>
            <w:tcBorders>
              <w:top w:val="single" w:sz="4" w:space="0" w:color="auto"/>
              <w:bottom w:val="single" w:sz="4" w:space="0" w:color="auto"/>
            </w:tcBorders>
            <w:tcMar>
              <w:top w:w="100" w:type="dxa"/>
              <w:left w:w="120" w:type="dxa"/>
              <w:bottom w:w="100" w:type="dxa"/>
              <w:right w:w="120" w:type="dxa"/>
            </w:tcMar>
          </w:tcPr>
          <w:p w14:paraId="0C27EB0D" w14:textId="77777777" w:rsidR="005776EE" w:rsidRDefault="005776EE" w:rsidP="00961653">
            <w:pPr>
              <w:pStyle w:val="Tablecontent"/>
            </w:pPr>
            <w:r>
              <w:t>Storage Location</w:t>
            </w:r>
          </w:p>
        </w:tc>
        <w:tc>
          <w:tcPr>
            <w:tcW w:w="6526" w:type="dxa"/>
            <w:tcBorders>
              <w:top w:val="single" w:sz="4" w:space="0" w:color="auto"/>
              <w:bottom w:val="single" w:sz="4" w:space="0" w:color="auto"/>
            </w:tcBorders>
            <w:tcMar>
              <w:top w:w="100" w:type="dxa"/>
              <w:left w:w="120" w:type="dxa"/>
              <w:bottom w:w="100" w:type="dxa"/>
              <w:right w:w="120" w:type="dxa"/>
            </w:tcMar>
          </w:tcPr>
          <w:p w14:paraId="727103A0" w14:textId="77777777" w:rsidR="005776EE" w:rsidRDefault="005776EE" w:rsidP="00961653">
            <w:pPr>
              <w:pStyle w:val="Tablecontent"/>
            </w:pPr>
            <w:r>
              <w:t>Where information is stored (e.g., practice management system, physical files, cloud storage)</w:t>
            </w:r>
          </w:p>
        </w:tc>
      </w:tr>
      <w:tr w:rsidR="005776EE" w14:paraId="5BAF57D3" w14:textId="77777777" w:rsidTr="00A9333C">
        <w:tc>
          <w:tcPr>
            <w:tcW w:w="2500" w:type="dxa"/>
            <w:tcBorders>
              <w:top w:val="single" w:sz="4" w:space="0" w:color="auto"/>
              <w:bottom w:val="single" w:sz="4" w:space="0" w:color="auto"/>
            </w:tcBorders>
            <w:tcMar>
              <w:top w:w="100" w:type="dxa"/>
              <w:left w:w="120" w:type="dxa"/>
              <w:bottom w:w="100" w:type="dxa"/>
              <w:right w:w="120" w:type="dxa"/>
            </w:tcMar>
          </w:tcPr>
          <w:p w14:paraId="7920B5A5" w14:textId="77777777" w:rsidR="005776EE" w:rsidRDefault="005776EE" w:rsidP="00961653">
            <w:pPr>
              <w:pStyle w:val="Tablecontent"/>
            </w:pPr>
            <w:r>
              <w:t>Access</w:t>
            </w:r>
          </w:p>
        </w:tc>
        <w:tc>
          <w:tcPr>
            <w:tcW w:w="6526" w:type="dxa"/>
            <w:tcBorders>
              <w:top w:val="single" w:sz="4" w:space="0" w:color="auto"/>
              <w:bottom w:val="single" w:sz="4" w:space="0" w:color="auto"/>
            </w:tcBorders>
            <w:tcMar>
              <w:top w:w="100" w:type="dxa"/>
              <w:left w:w="120" w:type="dxa"/>
              <w:bottom w:w="100" w:type="dxa"/>
              <w:right w:w="120" w:type="dxa"/>
            </w:tcMar>
          </w:tcPr>
          <w:p w14:paraId="76E57466" w14:textId="77777777" w:rsidR="005776EE" w:rsidRDefault="005776EE" w:rsidP="00961653">
            <w:pPr>
              <w:pStyle w:val="Tablecontent"/>
            </w:pPr>
            <w:r>
              <w:t>Who has access to this information (e.g., all staff, principals only, specific staff members)</w:t>
            </w:r>
          </w:p>
        </w:tc>
      </w:tr>
      <w:tr w:rsidR="005776EE" w14:paraId="1260BDCB" w14:textId="77777777" w:rsidTr="00A9333C">
        <w:tc>
          <w:tcPr>
            <w:tcW w:w="2500" w:type="dxa"/>
            <w:tcBorders>
              <w:top w:val="single" w:sz="4" w:space="0" w:color="auto"/>
              <w:bottom w:val="single" w:sz="4" w:space="0" w:color="auto"/>
            </w:tcBorders>
            <w:tcMar>
              <w:top w:w="100" w:type="dxa"/>
              <w:left w:w="120" w:type="dxa"/>
              <w:bottom w:w="100" w:type="dxa"/>
              <w:right w:w="120" w:type="dxa"/>
            </w:tcMar>
          </w:tcPr>
          <w:p w14:paraId="70C933B5" w14:textId="77777777" w:rsidR="005776EE" w:rsidRDefault="005776EE" w:rsidP="00961653">
            <w:pPr>
              <w:pStyle w:val="Tablecontent"/>
            </w:pPr>
            <w:r>
              <w:t>Retention Period</w:t>
            </w:r>
          </w:p>
        </w:tc>
        <w:tc>
          <w:tcPr>
            <w:tcW w:w="6526" w:type="dxa"/>
            <w:tcBorders>
              <w:top w:val="single" w:sz="4" w:space="0" w:color="auto"/>
              <w:bottom w:val="single" w:sz="4" w:space="0" w:color="auto"/>
            </w:tcBorders>
            <w:tcMar>
              <w:top w:w="100" w:type="dxa"/>
              <w:left w:w="120" w:type="dxa"/>
              <w:bottom w:w="100" w:type="dxa"/>
              <w:right w:w="120" w:type="dxa"/>
            </w:tcMar>
          </w:tcPr>
          <w:p w14:paraId="71D1A2D5" w14:textId="77777777" w:rsidR="005776EE" w:rsidRDefault="005776EE" w:rsidP="00961653">
            <w:pPr>
              <w:pStyle w:val="Tablecontent"/>
            </w:pPr>
            <w:r>
              <w:t>How long information is retained (cross-reference to retention schedule)</w:t>
            </w:r>
          </w:p>
        </w:tc>
      </w:tr>
      <w:tr w:rsidR="005776EE" w14:paraId="39825450" w14:textId="77777777" w:rsidTr="00A9333C">
        <w:tc>
          <w:tcPr>
            <w:tcW w:w="2500" w:type="dxa"/>
            <w:tcBorders>
              <w:top w:val="single" w:sz="4" w:space="0" w:color="auto"/>
              <w:bottom w:val="single" w:sz="4" w:space="0" w:color="auto"/>
            </w:tcBorders>
            <w:tcMar>
              <w:top w:w="100" w:type="dxa"/>
              <w:left w:w="120" w:type="dxa"/>
              <w:bottom w:w="100" w:type="dxa"/>
              <w:right w:w="120" w:type="dxa"/>
            </w:tcMar>
          </w:tcPr>
          <w:p w14:paraId="245DC454" w14:textId="77777777" w:rsidR="005776EE" w:rsidRDefault="005776EE" w:rsidP="00961653">
            <w:pPr>
              <w:pStyle w:val="Tablecontent"/>
            </w:pPr>
            <w:r>
              <w:t>Sensitivity</w:t>
            </w:r>
          </w:p>
        </w:tc>
        <w:tc>
          <w:tcPr>
            <w:tcW w:w="6526" w:type="dxa"/>
            <w:tcBorders>
              <w:top w:val="single" w:sz="4" w:space="0" w:color="auto"/>
              <w:bottom w:val="single" w:sz="4" w:space="0" w:color="auto"/>
            </w:tcBorders>
            <w:tcMar>
              <w:top w:w="100" w:type="dxa"/>
              <w:left w:w="120" w:type="dxa"/>
              <w:bottom w:w="100" w:type="dxa"/>
              <w:right w:w="120" w:type="dxa"/>
            </w:tcMar>
          </w:tcPr>
          <w:p w14:paraId="3C418B1B" w14:textId="0AFD4EC7" w:rsidR="003F2D0D" w:rsidRDefault="005776EE" w:rsidP="00961653">
            <w:pPr>
              <w:pStyle w:val="Tablecontent"/>
            </w:pPr>
            <w:r>
              <w:t xml:space="preserve">Whether the category includes </w:t>
            </w:r>
            <w:r w:rsidR="00355F78">
              <w:t xml:space="preserve">particularly </w:t>
            </w:r>
            <w:r>
              <w:t>sensitive information (health, criminal record, etc.)</w:t>
            </w:r>
            <w:r w:rsidR="00211C29">
              <w:t xml:space="preserve"> If information is especially sensitive – both in the sense </w:t>
            </w:r>
            <w:r w:rsidR="00211C29">
              <w:lastRenderedPageBreak/>
              <w:t xml:space="preserve">that it falls within the Privacy Act definition or you anticipate especial </w:t>
            </w:r>
            <w:r w:rsidR="0063152B">
              <w:t xml:space="preserve">risk of harm </w:t>
            </w:r>
            <w:r w:rsidR="009F1F10">
              <w:t xml:space="preserve">- </w:t>
            </w:r>
            <w:r w:rsidR="0063152B">
              <w:t>this should be flagged for special protection in motion and at rest.</w:t>
            </w:r>
          </w:p>
        </w:tc>
      </w:tr>
      <w:tr w:rsidR="005776EE" w14:paraId="423096A4" w14:textId="77777777" w:rsidTr="00A9333C">
        <w:tc>
          <w:tcPr>
            <w:tcW w:w="2500" w:type="dxa"/>
            <w:tcBorders>
              <w:top w:val="single" w:sz="4" w:space="0" w:color="auto"/>
              <w:bottom w:val="single" w:sz="4" w:space="0" w:color="auto"/>
            </w:tcBorders>
            <w:tcMar>
              <w:top w:w="100" w:type="dxa"/>
              <w:left w:w="120" w:type="dxa"/>
              <w:bottom w:w="100" w:type="dxa"/>
              <w:right w:w="120" w:type="dxa"/>
            </w:tcMar>
          </w:tcPr>
          <w:p w14:paraId="57E9622B" w14:textId="77777777" w:rsidR="005776EE" w:rsidRDefault="005776EE" w:rsidP="00961653">
            <w:pPr>
              <w:pStyle w:val="Tablecontent"/>
            </w:pPr>
            <w:r>
              <w:t>Overseas Disclosure</w:t>
            </w:r>
          </w:p>
        </w:tc>
        <w:tc>
          <w:tcPr>
            <w:tcW w:w="6526" w:type="dxa"/>
            <w:tcBorders>
              <w:top w:val="single" w:sz="4" w:space="0" w:color="auto"/>
              <w:bottom w:val="single" w:sz="4" w:space="0" w:color="auto"/>
            </w:tcBorders>
            <w:tcMar>
              <w:top w:w="100" w:type="dxa"/>
              <w:left w:w="120" w:type="dxa"/>
              <w:bottom w:w="100" w:type="dxa"/>
              <w:right w:w="120" w:type="dxa"/>
            </w:tcMar>
          </w:tcPr>
          <w:p w14:paraId="2F67F50C" w14:textId="77777777" w:rsidR="005776EE" w:rsidRDefault="005776EE" w:rsidP="00961653">
            <w:pPr>
              <w:pStyle w:val="Tablecontent"/>
            </w:pPr>
            <w:r>
              <w:t>Whether information is disclosed overseas (and to which countries)</w:t>
            </w:r>
          </w:p>
        </w:tc>
      </w:tr>
    </w:tbl>
    <w:p w14:paraId="4D99AAFA" w14:textId="77777777" w:rsidR="009F1F10" w:rsidRDefault="005776EE" w:rsidP="00A30EAA">
      <w:pPr>
        <w:pStyle w:val="Body"/>
      </w:pPr>
      <w:r>
        <w:t xml:space="preserve">The template includes pre-populated entries for common categories of personal information held by law firms. </w:t>
      </w:r>
      <w:r w:rsidR="009F1F10">
        <w:t xml:space="preserve">These are only examples, not intended as a comprehensive list. </w:t>
      </w:r>
    </w:p>
    <w:p w14:paraId="44BC1115" w14:textId="4AF9009F" w:rsidR="005776EE" w:rsidRDefault="005776EE" w:rsidP="00A30EAA">
      <w:pPr>
        <w:pStyle w:val="Body"/>
      </w:pPr>
      <w:r>
        <w:t>Review and adjust these entries to reflect your firm's actual information holdings.</w:t>
      </w:r>
    </w:p>
    <w:p w14:paraId="7DE81AC8" w14:textId="27FECF46" w:rsidR="005776EE" w:rsidRDefault="005776EE" w:rsidP="00A30EAA">
      <w:pPr>
        <w:pStyle w:val="NumberedHeading2"/>
      </w:pPr>
      <w:bookmarkStart w:id="254" w:name="_Toc220069965"/>
      <w:bookmarkStart w:id="255" w:name="_Toc220655113"/>
      <w:bookmarkStart w:id="256" w:name="_Toc231895200"/>
      <w:r>
        <w:t>Data Retention Schedule (Document 04)</w:t>
      </w:r>
      <w:bookmarkEnd w:id="254"/>
      <w:bookmarkEnd w:id="255"/>
      <w:bookmarkEnd w:id="256"/>
    </w:p>
    <w:p w14:paraId="66805C79" w14:textId="0413BA1B" w:rsidR="00214BF3" w:rsidRDefault="005776EE" w:rsidP="00A30EAA">
      <w:pPr>
        <w:pStyle w:val="Body"/>
      </w:pPr>
      <w:r>
        <w:t xml:space="preserve">APP 11.2 requires that personal information be destroyed or de-identified when it is no longer needed for any purpose for which it may be </w:t>
      </w:r>
      <w:r w:rsidR="00C44982">
        <w:t>“</w:t>
      </w:r>
      <w:r>
        <w:t>used or disclosed under the APPs</w:t>
      </w:r>
      <w:r w:rsidR="00C44982">
        <w:t>”</w:t>
      </w:r>
      <w:r>
        <w:t>.</w:t>
      </w:r>
      <w:r>
        <w:rPr>
          <w:rStyle w:val="FootnoteReference"/>
        </w:rPr>
        <w:footnoteReference w:id="127"/>
      </w:r>
      <w:r>
        <w:t xml:space="preserve"> </w:t>
      </w:r>
    </w:p>
    <w:p w14:paraId="4C5867C9" w14:textId="1CBA1648" w:rsidR="005776EE" w:rsidRDefault="00CE4655" w:rsidP="00A30EAA">
      <w:pPr>
        <w:pStyle w:val="Body"/>
      </w:pPr>
      <w:r>
        <w:t xml:space="preserve">Retention for risk management or to assist in the administration of justice </w:t>
      </w:r>
      <w:r w:rsidR="002C2114">
        <w:t>can be justify the decision to</w:t>
      </w:r>
      <w:r w:rsidR="00984F08">
        <w:t xml:space="preserve"> keep information beyond the minimum period</w:t>
      </w:r>
      <w:r w:rsidR="005776EE">
        <w:t>.</w:t>
      </w:r>
      <w:r w:rsidR="00932FCC">
        <w:t xml:space="preserve"> You should consider the kinds of work you do and decide how long specific files will be kept</w:t>
      </w:r>
      <w:r w:rsidR="00E65864">
        <w:t xml:space="preserve"> and be prepared to defend the decision if called upon to do so</w:t>
      </w:r>
      <w:r w:rsidR="00932FCC">
        <w:t>.</w:t>
      </w:r>
    </w:p>
    <w:p w14:paraId="6E0AA082" w14:textId="34CF0870" w:rsidR="00932FCC" w:rsidRDefault="00932FCC" w:rsidP="00A30EAA">
      <w:pPr>
        <w:pStyle w:val="Body"/>
      </w:pPr>
      <w:r>
        <w:t xml:space="preserve">It is much cheaper to </w:t>
      </w:r>
      <w:r w:rsidR="003F24D4">
        <w:t xml:space="preserve">store </w:t>
      </w:r>
      <w:r w:rsidR="00125920">
        <w:t xml:space="preserve">physical </w:t>
      </w:r>
      <w:r w:rsidR="003F24D4">
        <w:t xml:space="preserve">files with a specific destruction period together. This permits the entire box to be destroyed simultaneously rather than record-by-record. A destruction certificate should be requested if available. If being destroyed in-house keep a record of what was destroyed, by whom and </w:t>
      </w:r>
      <w:r w:rsidR="00355210">
        <w:t>by what method.</w:t>
      </w:r>
    </w:p>
    <w:p w14:paraId="7692710B" w14:textId="77777777" w:rsidR="005776EE" w:rsidRDefault="005776EE" w:rsidP="00973158">
      <w:pPr>
        <w:pStyle w:val="Heading3"/>
      </w:pPr>
      <w:bookmarkStart w:id="257" w:name="_Toc220069966"/>
      <w:r>
        <w:t>Key retention requirements for law firms</w:t>
      </w:r>
      <w:bookmarkEnd w:id="257"/>
    </w:p>
    <w:p w14:paraId="276786B0" w14:textId="3C6F9D0E" w:rsidR="003D4DE7" w:rsidRDefault="003D4DE7" w:rsidP="00A30EAA">
      <w:pPr>
        <w:pStyle w:val="Body"/>
      </w:pPr>
      <w:r>
        <w:t xml:space="preserve">The seven-year period for AML/CTF </w:t>
      </w:r>
      <w:r w:rsidR="009A122A">
        <w:t xml:space="preserve">designated service </w:t>
      </w:r>
      <w:r>
        <w:t>records</w:t>
      </w:r>
      <w:r>
        <w:rPr>
          <w:rStyle w:val="FootnoteReference"/>
        </w:rPr>
        <w:footnoteReference w:id="128"/>
      </w:r>
      <w:r>
        <w:t xml:space="preserve"> aligns with the trust account retention requirement under the Legal Profession Act</w:t>
      </w:r>
      <w:r>
        <w:rPr>
          <w:rStyle w:val="FootnoteReference"/>
        </w:rPr>
        <w:footnoteReference w:id="129"/>
      </w:r>
      <w:r>
        <w:t xml:space="preserve"> and general file retention obligation under the ASCR.</w:t>
      </w:r>
    </w:p>
    <w:p w14:paraId="53673F90" w14:textId="6123A18E" w:rsidR="006D51B6" w:rsidRDefault="006D51B6" w:rsidP="00A30EAA">
      <w:pPr>
        <w:pStyle w:val="Body"/>
      </w:pPr>
      <w:r>
        <w:t xml:space="preserve">Note that a </w:t>
      </w:r>
      <w:r w:rsidRPr="00EC13B3">
        <w:rPr>
          <w:b/>
          <w:bCs/>
        </w:rPr>
        <w:t>separate retention requirement</w:t>
      </w:r>
      <w:r>
        <w:t xml:space="preserve"> relating to Client Due Diligence records </w:t>
      </w:r>
      <w:r w:rsidR="00D36EA1">
        <w:t xml:space="preserve">exists. While it is also seven years, the start date for the time clock is the end of the relationship, not the </w:t>
      </w:r>
      <w:r w:rsidR="00EC13B3">
        <w:t>date the file is closed</w:t>
      </w:r>
      <w:r w:rsidR="00D36EA1">
        <w:t>.</w:t>
      </w:r>
      <w:r w:rsidR="00002D7C">
        <w:rPr>
          <w:rStyle w:val="FootnoteReference"/>
        </w:rPr>
        <w:footnoteReference w:id="130"/>
      </w:r>
    </w:p>
    <w:p w14:paraId="7BBF1DCC" w14:textId="77777777" w:rsidR="004D1E21" w:rsidRDefault="004D1E21">
      <w:pPr>
        <w:spacing w:after="0"/>
        <w:rPr>
          <w:b/>
          <w:iCs/>
          <w:color w:val="0F2D52"/>
          <w:sz w:val="24"/>
          <w:szCs w:val="24"/>
        </w:rPr>
      </w:pPr>
      <w:r>
        <w:br w:type="page"/>
      </w:r>
    </w:p>
    <w:p w14:paraId="24F024C2" w14:textId="2D3595C3" w:rsidR="00E14AD7" w:rsidRPr="00E14AD7" w:rsidRDefault="00E14AD7" w:rsidP="00E14AD7">
      <w:pPr>
        <w:pStyle w:val="Heading3"/>
      </w:pPr>
      <w:r w:rsidRPr="00E14AD7">
        <w:lastRenderedPageBreak/>
        <w:t>Minimum vs prudent retention periods.</w:t>
      </w:r>
    </w:p>
    <w:p w14:paraId="374B3A5C" w14:textId="77777777" w:rsidR="005C4BD6" w:rsidRDefault="003D4DE7" w:rsidP="00A30EAA">
      <w:pPr>
        <w:pStyle w:val="Body"/>
      </w:pPr>
      <w:r>
        <w:t>The general recommendation of seven years for client files reflects the six-year limitation period for most civil claims</w:t>
      </w:r>
      <w:r>
        <w:rPr>
          <w:rStyle w:val="FootnoteReference"/>
        </w:rPr>
        <w:footnoteReference w:id="131"/>
      </w:r>
      <w:r>
        <w:t xml:space="preserve"> plus a buffer. </w:t>
      </w:r>
    </w:p>
    <w:p w14:paraId="49A6D45F" w14:textId="2552CE52" w:rsidR="003D4DE7" w:rsidRDefault="003D4DE7" w:rsidP="00A30EAA">
      <w:pPr>
        <w:pStyle w:val="Body"/>
      </w:pPr>
      <w:r>
        <w:t>Longer retention is appropriate for some types of matters, although only certain elements of the file might be relevant for long term storage.</w:t>
      </w:r>
      <w:r>
        <w:rPr>
          <w:rStyle w:val="FootnoteReference"/>
        </w:rPr>
        <w:footnoteReference w:id="132"/>
      </w:r>
      <w:r w:rsidR="005C4BD6">
        <w:t xml:space="preserve"> </w:t>
      </w:r>
    </w:p>
    <w:tbl>
      <w:tblPr>
        <w:tblW w:w="5000" w:type="pct"/>
        <w:tblCellMar>
          <w:left w:w="10" w:type="dxa"/>
          <w:right w:w="10" w:type="dxa"/>
        </w:tblCellMar>
        <w:tblLook w:val="04A0" w:firstRow="1" w:lastRow="0" w:firstColumn="1" w:lastColumn="0" w:noHBand="0" w:noVBand="1"/>
      </w:tblPr>
      <w:tblGrid>
        <w:gridCol w:w="2800"/>
        <w:gridCol w:w="2000"/>
        <w:gridCol w:w="4226"/>
      </w:tblGrid>
      <w:tr w:rsidR="005776EE" w14:paraId="48A91DE7" w14:textId="77777777" w:rsidTr="00A9333C">
        <w:tc>
          <w:tcPr>
            <w:tcW w:w="2799" w:type="dxa"/>
            <w:shd w:val="clear" w:color="auto" w:fill="0F2D52"/>
            <w:tcMar>
              <w:top w:w="100" w:type="dxa"/>
              <w:left w:w="120" w:type="dxa"/>
              <w:bottom w:w="100" w:type="dxa"/>
              <w:right w:w="120" w:type="dxa"/>
            </w:tcMar>
          </w:tcPr>
          <w:p w14:paraId="6B07A9D4" w14:textId="77777777" w:rsidR="005776EE" w:rsidRPr="00984F08" w:rsidRDefault="005776EE" w:rsidP="00961653">
            <w:pPr>
              <w:pStyle w:val="TableHeading"/>
            </w:pPr>
            <w:r w:rsidRPr="00984F08">
              <w:t>Record Type</w:t>
            </w:r>
          </w:p>
        </w:tc>
        <w:tc>
          <w:tcPr>
            <w:tcW w:w="2000" w:type="dxa"/>
            <w:shd w:val="clear" w:color="auto" w:fill="0F2D52"/>
            <w:tcMar>
              <w:top w:w="100" w:type="dxa"/>
              <w:left w:w="120" w:type="dxa"/>
              <w:bottom w:w="100" w:type="dxa"/>
              <w:right w:w="120" w:type="dxa"/>
            </w:tcMar>
          </w:tcPr>
          <w:p w14:paraId="200B2D84" w14:textId="77777777" w:rsidR="005776EE" w:rsidRPr="00984F08" w:rsidRDefault="005776EE" w:rsidP="00961653">
            <w:pPr>
              <w:pStyle w:val="TableHeading"/>
            </w:pPr>
            <w:r w:rsidRPr="00984F08">
              <w:t>Minimum Period</w:t>
            </w:r>
          </w:p>
        </w:tc>
        <w:tc>
          <w:tcPr>
            <w:tcW w:w="4225" w:type="dxa"/>
            <w:shd w:val="clear" w:color="auto" w:fill="0F2D52"/>
            <w:tcMar>
              <w:top w:w="100" w:type="dxa"/>
              <w:left w:w="120" w:type="dxa"/>
              <w:bottom w:w="100" w:type="dxa"/>
              <w:right w:w="120" w:type="dxa"/>
            </w:tcMar>
          </w:tcPr>
          <w:p w14:paraId="67DDF266" w14:textId="77777777" w:rsidR="005776EE" w:rsidRPr="00984F08" w:rsidRDefault="005776EE" w:rsidP="00961653">
            <w:pPr>
              <w:pStyle w:val="TableHeading"/>
            </w:pPr>
            <w:r w:rsidRPr="00984F08">
              <w:t>Source</w:t>
            </w:r>
          </w:p>
        </w:tc>
      </w:tr>
      <w:tr w:rsidR="005776EE" w14:paraId="5E46F16A" w14:textId="77777777" w:rsidTr="00A9333C">
        <w:tc>
          <w:tcPr>
            <w:tcW w:w="2799" w:type="dxa"/>
            <w:tcBorders>
              <w:bottom w:val="single" w:sz="4" w:space="0" w:color="auto"/>
            </w:tcBorders>
            <w:tcMar>
              <w:top w:w="100" w:type="dxa"/>
              <w:left w:w="120" w:type="dxa"/>
              <w:bottom w:w="100" w:type="dxa"/>
              <w:right w:w="120" w:type="dxa"/>
            </w:tcMar>
          </w:tcPr>
          <w:p w14:paraId="1FF3E401" w14:textId="77777777" w:rsidR="005776EE" w:rsidRDefault="005776EE" w:rsidP="00961653">
            <w:pPr>
              <w:pStyle w:val="Tablecontent"/>
            </w:pPr>
            <w:r>
              <w:t>AML/CTF CDD records</w:t>
            </w:r>
          </w:p>
          <w:p w14:paraId="1AED0182" w14:textId="1436D9D8" w:rsidR="00984F08" w:rsidRDefault="00984F08" w:rsidP="00961653">
            <w:pPr>
              <w:pStyle w:val="Tablecontent"/>
            </w:pPr>
            <w:r>
              <w:t>(Also e-conveyancing VOI Data)</w:t>
            </w:r>
          </w:p>
        </w:tc>
        <w:tc>
          <w:tcPr>
            <w:tcW w:w="2000" w:type="dxa"/>
            <w:tcBorders>
              <w:bottom w:val="single" w:sz="4" w:space="0" w:color="auto"/>
            </w:tcBorders>
            <w:tcMar>
              <w:top w:w="100" w:type="dxa"/>
              <w:left w:w="120" w:type="dxa"/>
              <w:bottom w:w="100" w:type="dxa"/>
              <w:right w:w="120" w:type="dxa"/>
            </w:tcMar>
          </w:tcPr>
          <w:p w14:paraId="115FA2DC" w14:textId="7ECDAC1C" w:rsidR="005776EE" w:rsidRDefault="005776EE" w:rsidP="00961653">
            <w:pPr>
              <w:pStyle w:val="Tablecontent"/>
            </w:pPr>
            <w:r>
              <w:t xml:space="preserve">7 years after </w:t>
            </w:r>
            <w:r w:rsidRPr="002B6124">
              <w:rPr>
                <w:b/>
                <w:bCs/>
                <w:u w:val="single"/>
              </w:rPr>
              <w:t>relationship ends</w:t>
            </w:r>
            <w:r w:rsidR="002B6124">
              <w:rPr>
                <w:b/>
                <w:bCs/>
                <w:u w:val="single"/>
              </w:rPr>
              <w:t xml:space="preserve"> (*)</w:t>
            </w:r>
          </w:p>
        </w:tc>
        <w:tc>
          <w:tcPr>
            <w:tcW w:w="4225" w:type="dxa"/>
            <w:tcBorders>
              <w:bottom w:val="single" w:sz="4" w:space="0" w:color="auto"/>
            </w:tcBorders>
            <w:tcMar>
              <w:top w:w="100" w:type="dxa"/>
              <w:left w:w="120" w:type="dxa"/>
              <w:bottom w:w="100" w:type="dxa"/>
              <w:right w:w="120" w:type="dxa"/>
            </w:tcMar>
          </w:tcPr>
          <w:p w14:paraId="6F10E6F2" w14:textId="4B679D2C" w:rsidR="005776EE" w:rsidRDefault="005776EE" w:rsidP="00961653">
            <w:pPr>
              <w:pStyle w:val="Tablecontent"/>
            </w:pPr>
            <w:r>
              <w:t>AML/CTF Act s 1</w:t>
            </w:r>
            <w:r w:rsidR="0053357D">
              <w:t>11</w:t>
            </w:r>
          </w:p>
          <w:p w14:paraId="1CF7821A" w14:textId="53BD88DC" w:rsidR="00984F08" w:rsidRDefault="00984F08" w:rsidP="00961653">
            <w:pPr>
              <w:pStyle w:val="Tablecontent"/>
            </w:pPr>
            <w:r>
              <w:t xml:space="preserve">ARNECC MPR 2 – VOI </w:t>
            </w:r>
          </w:p>
        </w:tc>
      </w:tr>
      <w:tr w:rsidR="005776EE" w14:paraId="1439DCA1" w14:textId="77777777" w:rsidTr="00A9333C">
        <w:tc>
          <w:tcPr>
            <w:tcW w:w="2799" w:type="dxa"/>
            <w:tcBorders>
              <w:top w:val="single" w:sz="4" w:space="0" w:color="auto"/>
              <w:bottom w:val="single" w:sz="4" w:space="0" w:color="auto"/>
            </w:tcBorders>
            <w:tcMar>
              <w:top w:w="100" w:type="dxa"/>
              <w:left w:w="120" w:type="dxa"/>
              <w:bottom w:w="100" w:type="dxa"/>
              <w:right w:w="120" w:type="dxa"/>
            </w:tcMar>
          </w:tcPr>
          <w:p w14:paraId="62A864C5" w14:textId="72A3367E" w:rsidR="005776EE" w:rsidRDefault="00550F27" w:rsidP="00961653">
            <w:pPr>
              <w:pStyle w:val="Tablecontent"/>
            </w:pPr>
            <w:r>
              <w:t xml:space="preserve">Designated service </w:t>
            </w:r>
            <w:r w:rsidR="005776EE">
              <w:t>transaction records</w:t>
            </w:r>
          </w:p>
        </w:tc>
        <w:tc>
          <w:tcPr>
            <w:tcW w:w="2000" w:type="dxa"/>
            <w:tcBorders>
              <w:top w:val="single" w:sz="4" w:space="0" w:color="auto"/>
              <w:bottom w:val="single" w:sz="4" w:space="0" w:color="auto"/>
            </w:tcBorders>
            <w:tcMar>
              <w:top w:w="100" w:type="dxa"/>
              <w:left w:w="120" w:type="dxa"/>
              <w:bottom w:w="100" w:type="dxa"/>
              <w:right w:w="120" w:type="dxa"/>
            </w:tcMar>
          </w:tcPr>
          <w:p w14:paraId="712EBDAB" w14:textId="77777777" w:rsidR="005776EE" w:rsidRDefault="005776EE" w:rsidP="00961653">
            <w:pPr>
              <w:pStyle w:val="Tablecontent"/>
            </w:pPr>
            <w:r>
              <w:t>7 years after transaction</w:t>
            </w:r>
          </w:p>
        </w:tc>
        <w:tc>
          <w:tcPr>
            <w:tcW w:w="4225" w:type="dxa"/>
            <w:tcBorders>
              <w:top w:val="single" w:sz="4" w:space="0" w:color="auto"/>
              <w:bottom w:val="single" w:sz="4" w:space="0" w:color="auto"/>
            </w:tcBorders>
            <w:tcMar>
              <w:top w:w="100" w:type="dxa"/>
              <w:left w:w="120" w:type="dxa"/>
              <w:bottom w:w="100" w:type="dxa"/>
              <w:right w:w="120" w:type="dxa"/>
            </w:tcMar>
          </w:tcPr>
          <w:p w14:paraId="292F3CBD" w14:textId="5D904CBB" w:rsidR="005776EE" w:rsidRDefault="005776EE" w:rsidP="00961653">
            <w:pPr>
              <w:pStyle w:val="Tablecontent"/>
            </w:pPr>
            <w:r>
              <w:t>AML/CTF Act s 107</w:t>
            </w:r>
            <w:r w:rsidR="00550F27">
              <w:t>, 108</w:t>
            </w:r>
          </w:p>
        </w:tc>
      </w:tr>
      <w:tr w:rsidR="005776EE" w14:paraId="24EAB9EF" w14:textId="77777777" w:rsidTr="00A9333C">
        <w:tc>
          <w:tcPr>
            <w:tcW w:w="2799" w:type="dxa"/>
            <w:tcBorders>
              <w:top w:val="single" w:sz="4" w:space="0" w:color="auto"/>
              <w:bottom w:val="single" w:sz="4" w:space="0" w:color="auto"/>
            </w:tcBorders>
            <w:tcMar>
              <w:top w:w="100" w:type="dxa"/>
              <w:left w:w="120" w:type="dxa"/>
              <w:bottom w:w="100" w:type="dxa"/>
              <w:right w:w="120" w:type="dxa"/>
            </w:tcMar>
          </w:tcPr>
          <w:p w14:paraId="0AD1C849" w14:textId="77777777" w:rsidR="005776EE" w:rsidRDefault="005776EE" w:rsidP="00961653">
            <w:pPr>
              <w:pStyle w:val="Tablecontent"/>
            </w:pPr>
            <w:r>
              <w:t>Trust account records</w:t>
            </w:r>
          </w:p>
        </w:tc>
        <w:tc>
          <w:tcPr>
            <w:tcW w:w="2000" w:type="dxa"/>
            <w:tcBorders>
              <w:top w:val="single" w:sz="4" w:space="0" w:color="auto"/>
              <w:bottom w:val="single" w:sz="4" w:space="0" w:color="auto"/>
            </w:tcBorders>
            <w:tcMar>
              <w:top w:w="100" w:type="dxa"/>
              <w:left w:w="120" w:type="dxa"/>
              <w:bottom w:w="100" w:type="dxa"/>
              <w:right w:w="120" w:type="dxa"/>
            </w:tcMar>
          </w:tcPr>
          <w:p w14:paraId="2CFD4A0C" w14:textId="77777777" w:rsidR="005776EE" w:rsidRDefault="005776EE" w:rsidP="00961653">
            <w:pPr>
              <w:pStyle w:val="Tablecontent"/>
            </w:pPr>
            <w:r>
              <w:t>7 years</w:t>
            </w:r>
          </w:p>
        </w:tc>
        <w:tc>
          <w:tcPr>
            <w:tcW w:w="4225" w:type="dxa"/>
            <w:tcBorders>
              <w:top w:val="single" w:sz="4" w:space="0" w:color="auto"/>
              <w:bottom w:val="single" w:sz="4" w:space="0" w:color="auto"/>
            </w:tcBorders>
            <w:tcMar>
              <w:top w:w="100" w:type="dxa"/>
              <w:left w:w="120" w:type="dxa"/>
              <w:bottom w:w="100" w:type="dxa"/>
              <w:right w:w="120" w:type="dxa"/>
            </w:tcMar>
          </w:tcPr>
          <w:p w14:paraId="0C0E8AAD" w14:textId="77777777" w:rsidR="005776EE" w:rsidRDefault="005776EE" w:rsidP="00961653">
            <w:pPr>
              <w:pStyle w:val="Tablecontent"/>
            </w:pPr>
            <w:r>
              <w:t>Legal Profession Act 2007 (Qld)</w:t>
            </w:r>
          </w:p>
        </w:tc>
      </w:tr>
      <w:tr w:rsidR="005776EE" w14:paraId="0DAE2023" w14:textId="77777777" w:rsidTr="00A9333C">
        <w:tc>
          <w:tcPr>
            <w:tcW w:w="2799" w:type="dxa"/>
            <w:tcBorders>
              <w:top w:val="single" w:sz="4" w:space="0" w:color="auto"/>
              <w:bottom w:val="single" w:sz="4" w:space="0" w:color="auto"/>
            </w:tcBorders>
            <w:tcMar>
              <w:top w:w="100" w:type="dxa"/>
              <w:left w:w="120" w:type="dxa"/>
              <w:bottom w:w="100" w:type="dxa"/>
              <w:right w:w="120" w:type="dxa"/>
            </w:tcMar>
          </w:tcPr>
          <w:p w14:paraId="5BEBCA4F" w14:textId="77777777" w:rsidR="005776EE" w:rsidRDefault="005776EE" w:rsidP="00961653">
            <w:pPr>
              <w:pStyle w:val="Tablecontent"/>
            </w:pPr>
            <w:r>
              <w:t>General client files</w:t>
            </w:r>
          </w:p>
        </w:tc>
        <w:tc>
          <w:tcPr>
            <w:tcW w:w="2000" w:type="dxa"/>
            <w:tcBorders>
              <w:top w:val="single" w:sz="4" w:space="0" w:color="auto"/>
              <w:bottom w:val="single" w:sz="4" w:space="0" w:color="auto"/>
            </w:tcBorders>
            <w:tcMar>
              <w:top w:w="100" w:type="dxa"/>
              <w:left w:w="120" w:type="dxa"/>
              <w:bottom w:w="100" w:type="dxa"/>
              <w:right w:w="120" w:type="dxa"/>
            </w:tcMar>
          </w:tcPr>
          <w:p w14:paraId="7FBD1349" w14:textId="2C9BA199" w:rsidR="005776EE" w:rsidRDefault="005776EE" w:rsidP="00961653">
            <w:pPr>
              <w:pStyle w:val="Tablecontent"/>
            </w:pPr>
            <w:r>
              <w:t xml:space="preserve">7 years </w:t>
            </w:r>
            <w:r w:rsidR="00F01750">
              <w:t>mandatory</w:t>
            </w:r>
          </w:p>
        </w:tc>
        <w:tc>
          <w:tcPr>
            <w:tcW w:w="4225" w:type="dxa"/>
            <w:tcBorders>
              <w:top w:val="single" w:sz="4" w:space="0" w:color="auto"/>
              <w:bottom w:val="single" w:sz="4" w:space="0" w:color="auto"/>
            </w:tcBorders>
            <w:tcMar>
              <w:top w:w="100" w:type="dxa"/>
              <w:left w:w="120" w:type="dxa"/>
              <w:bottom w:w="100" w:type="dxa"/>
              <w:right w:w="120" w:type="dxa"/>
            </w:tcMar>
          </w:tcPr>
          <w:p w14:paraId="1399C884" w14:textId="43CE5518" w:rsidR="005776EE" w:rsidRDefault="00F01750" w:rsidP="00961653">
            <w:pPr>
              <w:pStyle w:val="Tablecontent"/>
            </w:pPr>
            <w:r>
              <w:t>ASCR</w:t>
            </w:r>
          </w:p>
        </w:tc>
      </w:tr>
      <w:tr w:rsidR="005776EE" w14:paraId="2CDE5924" w14:textId="77777777" w:rsidTr="00A9333C">
        <w:tc>
          <w:tcPr>
            <w:tcW w:w="2799" w:type="dxa"/>
            <w:tcBorders>
              <w:top w:val="single" w:sz="4" w:space="0" w:color="auto"/>
              <w:bottom w:val="single" w:sz="4" w:space="0" w:color="auto"/>
            </w:tcBorders>
            <w:tcMar>
              <w:top w:w="100" w:type="dxa"/>
              <w:left w:w="120" w:type="dxa"/>
              <w:bottom w:w="100" w:type="dxa"/>
              <w:right w:w="120" w:type="dxa"/>
            </w:tcMar>
          </w:tcPr>
          <w:p w14:paraId="6C138A52" w14:textId="77777777" w:rsidR="005776EE" w:rsidRDefault="005776EE" w:rsidP="00961653">
            <w:pPr>
              <w:pStyle w:val="Tablecontent"/>
            </w:pPr>
            <w:r>
              <w:t>Wills and estate planning</w:t>
            </w:r>
          </w:p>
        </w:tc>
        <w:tc>
          <w:tcPr>
            <w:tcW w:w="2000" w:type="dxa"/>
            <w:tcBorders>
              <w:top w:val="single" w:sz="4" w:space="0" w:color="auto"/>
              <w:bottom w:val="single" w:sz="4" w:space="0" w:color="auto"/>
            </w:tcBorders>
            <w:tcMar>
              <w:top w:w="100" w:type="dxa"/>
              <w:left w:w="120" w:type="dxa"/>
              <w:bottom w:w="100" w:type="dxa"/>
              <w:right w:w="120" w:type="dxa"/>
            </w:tcMar>
          </w:tcPr>
          <w:p w14:paraId="44AE610D" w14:textId="04FAA24D" w:rsidR="005776EE" w:rsidRDefault="0048515A" w:rsidP="00961653">
            <w:pPr>
              <w:pStyle w:val="Tablecontent"/>
            </w:pPr>
            <w:r>
              <w:t>For as long as the will may be valid, plus additional time if a subsequent will is disputed</w:t>
            </w:r>
          </w:p>
        </w:tc>
        <w:tc>
          <w:tcPr>
            <w:tcW w:w="4225" w:type="dxa"/>
            <w:tcBorders>
              <w:top w:val="single" w:sz="4" w:space="0" w:color="auto"/>
              <w:bottom w:val="single" w:sz="4" w:space="0" w:color="auto"/>
            </w:tcBorders>
            <w:tcMar>
              <w:top w:w="100" w:type="dxa"/>
              <w:left w:w="120" w:type="dxa"/>
              <w:bottom w:w="100" w:type="dxa"/>
              <w:right w:w="120" w:type="dxa"/>
            </w:tcMar>
          </w:tcPr>
          <w:p w14:paraId="70CE13E6" w14:textId="364A7324" w:rsidR="005776EE" w:rsidRDefault="008A21FA" w:rsidP="00961653">
            <w:pPr>
              <w:pStyle w:val="Tablecontent"/>
            </w:pPr>
            <w:r>
              <w:t>Not all of the file required</w:t>
            </w:r>
            <w:r w:rsidR="00FE4D40">
              <w:t xml:space="preserve"> – client instructions &amp; testamentary capacity evidence</w:t>
            </w:r>
            <w:r w:rsidR="00717283">
              <w:t xml:space="preserve"> is</w:t>
            </w:r>
            <w:r w:rsidR="00FE4D40">
              <w:t xml:space="preserve"> especially important.</w:t>
            </w:r>
          </w:p>
        </w:tc>
      </w:tr>
      <w:tr w:rsidR="005776EE" w14:paraId="3220A068" w14:textId="77777777" w:rsidTr="00A9333C">
        <w:tc>
          <w:tcPr>
            <w:tcW w:w="2799" w:type="dxa"/>
            <w:tcBorders>
              <w:top w:val="single" w:sz="4" w:space="0" w:color="auto"/>
              <w:bottom w:val="single" w:sz="4" w:space="0" w:color="auto"/>
            </w:tcBorders>
            <w:tcMar>
              <w:top w:w="100" w:type="dxa"/>
              <w:left w:w="120" w:type="dxa"/>
              <w:bottom w:w="100" w:type="dxa"/>
              <w:right w:w="120" w:type="dxa"/>
            </w:tcMar>
          </w:tcPr>
          <w:p w14:paraId="690E73D8" w14:textId="187AA557" w:rsidR="005776EE" w:rsidRDefault="00D36CA2" w:rsidP="00961653">
            <w:pPr>
              <w:pStyle w:val="Tablecontent"/>
            </w:pPr>
            <w:r>
              <w:t xml:space="preserve">Special files, such as establishing Trusts, acting for children, criminal </w:t>
            </w:r>
            <w:r w:rsidR="00ED46D5">
              <w:t>files where long term imprisonment is the outcome</w:t>
            </w:r>
          </w:p>
        </w:tc>
        <w:tc>
          <w:tcPr>
            <w:tcW w:w="2000" w:type="dxa"/>
            <w:tcBorders>
              <w:top w:val="single" w:sz="4" w:space="0" w:color="auto"/>
              <w:bottom w:val="single" w:sz="4" w:space="0" w:color="auto"/>
            </w:tcBorders>
            <w:tcMar>
              <w:top w:w="100" w:type="dxa"/>
              <w:left w:w="120" w:type="dxa"/>
              <w:bottom w:w="100" w:type="dxa"/>
              <w:right w:w="120" w:type="dxa"/>
            </w:tcMar>
          </w:tcPr>
          <w:p w14:paraId="6A7F2764" w14:textId="2DD2E65E" w:rsidR="005776EE" w:rsidRDefault="00ED46D5" w:rsidP="00961653">
            <w:pPr>
              <w:pStyle w:val="Tablecontent"/>
            </w:pPr>
            <w:r>
              <w:t>Various</w:t>
            </w:r>
          </w:p>
        </w:tc>
        <w:tc>
          <w:tcPr>
            <w:tcW w:w="4225" w:type="dxa"/>
            <w:tcBorders>
              <w:top w:val="single" w:sz="4" w:space="0" w:color="auto"/>
              <w:bottom w:val="single" w:sz="4" w:space="0" w:color="auto"/>
            </w:tcBorders>
            <w:tcMar>
              <w:top w:w="100" w:type="dxa"/>
              <w:left w:w="120" w:type="dxa"/>
              <w:bottom w:w="100" w:type="dxa"/>
              <w:right w:w="120" w:type="dxa"/>
            </w:tcMar>
          </w:tcPr>
          <w:p w14:paraId="2B17262F" w14:textId="1E90FB2E" w:rsidR="005776EE" w:rsidRDefault="00ED46D5" w:rsidP="00961653">
            <w:pPr>
              <w:pStyle w:val="Tablecontent"/>
            </w:pPr>
            <w:r>
              <w:t>See QLS Guidance.</w:t>
            </w:r>
          </w:p>
        </w:tc>
      </w:tr>
      <w:tr w:rsidR="005776EE" w14:paraId="1212B9AC" w14:textId="77777777" w:rsidTr="00A9333C">
        <w:tc>
          <w:tcPr>
            <w:tcW w:w="2799" w:type="dxa"/>
            <w:tcBorders>
              <w:top w:val="single" w:sz="4" w:space="0" w:color="auto"/>
              <w:bottom w:val="single" w:sz="4" w:space="0" w:color="auto"/>
            </w:tcBorders>
            <w:tcMar>
              <w:top w:w="100" w:type="dxa"/>
              <w:left w:w="120" w:type="dxa"/>
              <w:bottom w:w="100" w:type="dxa"/>
              <w:right w:w="120" w:type="dxa"/>
            </w:tcMar>
          </w:tcPr>
          <w:p w14:paraId="28B68CA0" w14:textId="77777777" w:rsidR="005776EE" w:rsidRDefault="005776EE" w:rsidP="00961653">
            <w:pPr>
              <w:pStyle w:val="Tablecontent"/>
            </w:pPr>
            <w:r>
              <w:t>Employment/HR records</w:t>
            </w:r>
          </w:p>
        </w:tc>
        <w:tc>
          <w:tcPr>
            <w:tcW w:w="2000" w:type="dxa"/>
            <w:tcBorders>
              <w:top w:val="single" w:sz="4" w:space="0" w:color="auto"/>
              <w:bottom w:val="single" w:sz="4" w:space="0" w:color="auto"/>
            </w:tcBorders>
            <w:tcMar>
              <w:top w:w="100" w:type="dxa"/>
              <w:left w:w="120" w:type="dxa"/>
              <w:bottom w:w="100" w:type="dxa"/>
              <w:right w:w="120" w:type="dxa"/>
            </w:tcMar>
          </w:tcPr>
          <w:p w14:paraId="7E3D9D9A" w14:textId="77777777" w:rsidR="005776EE" w:rsidRDefault="005776EE" w:rsidP="00961653">
            <w:pPr>
              <w:pStyle w:val="Tablecontent"/>
            </w:pPr>
            <w:r>
              <w:t>7 years after employment ends</w:t>
            </w:r>
          </w:p>
        </w:tc>
        <w:tc>
          <w:tcPr>
            <w:tcW w:w="4225" w:type="dxa"/>
            <w:tcBorders>
              <w:top w:val="single" w:sz="4" w:space="0" w:color="auto"/>
              <w:bottom w:val="single" w:sz="4" w:space="0" w:color="auto"/>
            </w:tcBorders>
            <w:tcMar>
              <w:top w:w="100" w:type="dxa"/>
              <w:left w:w="120" w:type="dxa"/>
              <w:bottom w:w="100" w:type="dxa"/>
              <w:right w:w="120" w:type="dxa"/>
            </w:tcMar>
          </w:tcPr>
          <w:p w14:paraId="1CD42817" w14:textId="77777777" w:rsidR="005776EE" w:rsidRDefault="005776EE" w:rsidP="00961653">
            <w:pPr>
              <w:pStyle w:val="Tablecontent"/>
            </w:pPr>
            <w:r>
              <w:t>Various employment legislation</w:t>
            </w:r>
          </w:p>
        </w:tc>
      </w:tr>
    </w:tbl>
    <w:p w14:paraId="2E0A4C82" w14:textId="3F41FF07" w:rsidR="00EB6247" w:rsidRDefault="00EB6247" w:rsidP="00EB6247">
      <w:pPr>
        <w:pStyle w:val="Heading3"/>
      </w:pPr>
      <w:r>
        <w:t>Client Due Diligence records – when does the clock start to run?</w:t>
      </w:r>
    </w:p>
    <w:p w14:paraId="1AC8751B" w14:textId="77777777" w:rsidR="00962EE6" w:rsidRDefault="00A629C7" w:rsidP="00A30EAA">
      <w:pPr>
        <w:pStyle w:val="Body"/>
      </w:pPr>
      <w:r>
        <w:t xml:space="preserve">S.111 of the AML/CTF act requires retention for 7 years after the </w:t>
      </w:r>
      <w:r w:rsidR="00B63447">
        <w:t>“</w:t>
      </w:r>
      <w:r>
        <w:t xml:space="preserve">business relationship ends” </w:t>
      </w:r>
      <w:r w:rsidR="00962EE6">
        <w:t>or the firm “completes the provision of the occasional transaction”.</w:t>
      </w:r>
      <w:r w:rsidR="00B63447">
        <w:t xml:space="preserve"> </w:t>
      </w:r>
    </w:p>
    <w:p w14:paraId="6DE66A43" w14:textId="77777777" w:rsidR="003F04EA" w:rsidRDefault="00962EE6" w:rsidP="00A30EAA">
      <w:pPr>
        <w:pStyle w:val="Body"/>
      </w:pPr>
      <w:r>
        <w:t>Th</w:t>
      </w:r>
      <w:r w:rsidR="00B63447">
        <w:t xml:space="preserve">is not necessarily the same as “matter closing”. </w:t>
      </w:r>
    </w:p>
    <w:p w14:paraId="777F4DE7" w14:textId="35ADF6EB" w:rsidR="00B63447" w:rsidRDefault="00B63447" w:rsidP="00A30EAA">
      <w:pPr>
        <w:pStyle w:val="Body"/>
      </w:pPr>
      <w:r>
        <w:t xml:space="preserve">Where you reasonably expect the client to provide ongoing instructions </w:t>
      </w:r>
      <w:r w:rsidR="0042302D">
        <w:t xml:space="preserve">the relevant destruction date is 7 years after the final designated service you provide for them. </w:t>
      </w:r>
      <w:r w:rsidR="0021022E">
        <w:t>This is difficult given that you may have no real way of knowing whether the client will return or not.</w:t>
      </w:r>
    </w:p>
    <w:p w14:paraId="64FEABD7" w14:textId="77777777" w:rsidR="00635CDC" w:rsidRDefault="00635CDC">
      <w:pPr>
        <w:spacing w:after="0"/>
        <w:rPr>
          <w:b/>
          <w:iCs/>
          <w:color w:val="0F2D52"/>
          <w:sz w:val="24"/>
          <w:szCs w:val="24"/>
        </w:rPr>
      </w:pPr>
      <w:bookmarkStart w:id="258" w:name="_Toc220069967"/>
      <w:r>
        <w:br w:type="page"/>
      </w:r>
    </w:p>
    <w:p w14:paraId="140188E0" w14:textId="5EAE6FAA" w:rsidR="005776EE" w:rsidRDefault="005776EE" w:rsidP="00973158">
      <w:pPr>
        <w:pStyle w:val="Heading3"/>
      </w:pPr>
      <w:r>
        <w:lastRenderedPageBreak/>
        <w:t>Using the retention schedule</w:t>
      </w:r>
      <w:bookmarkEnd w:id="258"/>
    </w:p>
    <w:p w14:paraId="19ECB8C4" w14:textId="77777777" w:rsidR="005776EE" w:rsidRDefault="005776EE" w:rsidP="00A30EAA">
      <w:pPr>
        <w:pStyle w:val="Body"/>
      </w:pPr>
      <w:r>
        <w:t>Document 04 provides a comprehensive retention schedule that integrates AML/CTF, Legal Profession Act, limitation period, and privacy requirements. For each record category, the schedule specifies:</w:t>
      </w:r>
    </w:p>
    <w:p w14:paraId="2979044E" w14:textId="54E98805" w:rsidR="005776EE" w:rsidRDefault="005776EE" w:rsidP="00A30EAA">
      <w:pPr>
        <w:pStyle w:val="ListParagraph"/>
      </w:pPr>
      <w:r>
        <w:t>The minimum retention period;</w:t>
      </w:r>
    </w:p>
    <w:p w14:paraId="22A6FAA8" w14:textId="6A736354" w:rsidR="005776EE" w:rsidRDefault="005776EE" w:rsidP="00A30EAA">
      <w:pPr>
        <w:pStyle w:val="ListParagraph"/>
      </w:pPr>
      <w:r>
        <w:t>The trigger date (e.g., matter completion, relationship end);</w:t>
      </w:r>
    </w:p>
    <w:p w14:paraId="7AEABC18" w14:textId="116322D1" w:rsidR="005776EE" w:rsidRDefault="005776EE" w:rsidP="00A30EAA">
      <w:pPr>
        <w:pStyle w:val="ListParagraph"/>
      </w:pPr>
      <w:r>
        <w:t>The legal basis for the retention period;</w:t>
      </w:r>
    </w:p>
    <w:p w14:paraId="1A3EE659" w14:textId="65ECF5F8" w:rsidR="005776EE" w:rsidRDefault="005776EE" w:rsidP="00A30EAA">
      <w:pPr>
        <w:pStyle w:val="ListParagraph"/>
      </w:pPr>
      <w:r>
        <w:t>Action required after the retention period (destroy, review, archive).</w:t>
      </w:r>
    </w:p>
    <w:p w14:paraId="7A17A118" w14:textId="4161F89D" w:rsidR="005776EE" w:rsidRDefault="005776EE" w:rsidP="00A30EAA">
      <w:pPr>
        <w:pStyle w:val="NumberedHeading2"/>
      </w:pPr>
      <w:bookmarkStart w:id="259" w:name="_Toc220069968"/>
      <w:bookmarkStart w:id="260" w:name="_Toc220655114"/>
      <w:bookmarkStart w:id="261" w:name="_Toc231895201"/>
      <w:r>
        <w:t>Secure Destruction</w:t>
      </w:r>
      <w:bookmarkEnd w:id="259"/>
      <w:bookmarkEnd w:id="260"/>
      <w:bookmarkEnd w:id="261"/>
    </w:p>
    <w:p w14:paraId="778C21D5" w14:textId="77777777" w:rsidR="005776EE" w:rsidRDefault="005776EE" w:rsidP="00A30EAA">
      <w:pPr>
        <w:pStyle w:val="Body"/>
      </w:pPr>
      <w:r>
        <w:t>When the retention period expires and there is no other reason to retain the information, it should be destroyed securely.</w:t>
      </w:r>
      <w:r>
        <w:rPr>
          <w:rStyle w:val="FootnoteReference"/>
        </w:rPr>
        <w:footnoteReference w:id="133"/>
      </w:r>
      <w:r>
        <w:t xml:space="preserve"> Secure destruction means ensuring that information cannot be recovered or reconstructed.</w:t>
      </w:r>
    </w:p>
    <w:p w14:paraId="55FADBFE" w14:textId="77777777" w:rsidR="005776EE" w:rsidRDefault="005776EE" w:rsidP="00A30EAA">
      <w:pPr>
        <w:pStyle w:val="Body"/>
      </w:pPr>
      <w:r>
        <w:t>Methods for secure destruction include:</w:t>
      </w:r>
    </w:p>
    <w:p w14:paraId="13D6839B" w14:textId="7C77BC7F" w:rsidR="005776EE" w:rsidRDefault="005776EE" w:rsidP="00A30EAA">
      <w:pPr>
        <w:pStyle w:val="ListParagraph"/>
      </w:pPr>
      <w:r>
        <w:rPr>
          <w:b/>
          <w:bCs/>
        </w:rPr>
        <w:t xml:space="preserve">Physical documents: </w:t>
      </w:r>
      <w:r>
        <w:t>Cross-cut shredding (strip shredding is not sufficient for confidential documents) or secure destruction service with certificate of destruction.</w:t>
      </w:r>
    </w:p>
    <w:p w14:paraId="27838D1A" w14:textId="686BEF74" w:rsidR="005776EE" w:rsidRDefault="005776EE" w:rsidP="00A30EAA">
      <w:pPr>
        <w:pStyle w:val="ListParagraph"/>
      </w:pPr>
      <w:r>
        <w:rPr>
          <w:b/>
          <w:bCs/>
        </w:rPr>
        <w:t xml:space="preserve">Electronic files: </w:t>
      </w:r>
      <w:r>
        <w:t>Secure deletion using appropriate software (simple deletion does not remove data); for highly sensitive data, overwriting or physical destruction of storage media.</w:t>
      </w:r>
    </w:p>
    <w:p w14:paraId="1CA0B508" w14:textId="4E96495B" w:rsidR="00F66694" w:rsidRDefault="005776EE" w:rsidP="00A30EAA">
      <w:pPr>
        <w:pStyle w:val="ListParagraph"/>
      </w:pPr>
      <w:r>
        <w:rPr>
          <w:b/>
          <w:bCs/>
        </w:rPr>
        <w:t xml:space="preserve">Cloud/hosted data: </w:t>
      </w:r>
      <w:r>
        <w:t>Request deletion from service provider and obtain confirmation; understand the provider's data deletion practices.</w:t>
      </w:r>
    </w:p>
    <w:p w14:paraId="449F1D8E" w14:textId="006E257C" w:rsidR="005776EE" w:rsidRDefault="005776EE" w:rsidP="00A30EAA">
      <w:pPr>
        <w:pStyle w:val="Body"/>
      </w:pPr>
      <w:r>
        <w:t>Maintain a destruction register recording what was destroyed, when, and how. This provides evidence of compliance with APP 11.2 and may be relevant if questions arise about historical information holdings.</w:t>
      </w:r>
    </w:p>
    <w:p w14:paraId="3A72896F" w14:textId="54257F81" w:rsidR="002B2CBF" w:rsidRDefault="000D7DD8" w:rsidP="00A30EAA">
      <w:pPr>
        <w:pStyle w:val="Body"/>
      </w:pPr>
      <w:r>
        <w:t xml:space="preserve">If an original was in hard-copy format </w:t>
      </w:r>
      <w:r w:rsidR="008751B7">
        <w:t>a destruction record may be important for ensuring admissibility of any electronic copy.</w:t>
      </w:r>
    </w:p>
    <w:p w14:paraId="273DA209" w14:textId="0F8F0C5A" w:rsidR="005776EE" w:rsidRDefault="005776EE" w:rsidP="00A30EAA">
      <w:pPr>
        <w:pStyle w:val="NumberedHeading2"/>
      </w:pPr>
      <w:bookmarkStart w:id="262" w:name="_Toc220069969"/>
      <w:bookmarkStart w:id="263" w:name="_Toc220655115"/>
      <w:bookmarkStart w:id="264" w:name="_Toc231895202"/>
      <w:r>
        <w:t>Data Quality</w:t>
      </w:r>
      <w:bookmarkEnd w:id="262"/>
      <w:bookmarkEnd w:id="263"/>
      <w:bookmarkEnd w:id="264"/>
    </w:p>
    <w:p w14:paraId="027DF7C2" w14:textId="2FC748B3" w:rsidR="005776EE" w:rsidRDefault="005776EE" w:rsidP="00A30EAA">
      <w:pPr>
        <w:pStyle w:val="Body"/>
      </w:pPr>
      <w:r>
        <w:t xml:space="preserve">APP 10 requires entities to take reasonable steps to ensure that personal information collected is accurate, up-to-date, complete and relevant, having regard to the </w:t>
      </w:r>
      <w:r w:rsidRPr="0084367C">
        <w:rPr>
          <w:i/>
          <w:iCs/>
        </w:rPr>
        <w:t>purpose of use or disclosure</w:t>
      </w:r>
      <w:r>
        <w:t>.</w:t>
      </w:r>
      <w:r>
        <w:rPr>
          <w:rStyle w:val="FootnoteReference"/>
        </w:rPr>
        <w:footnoteReference w:id="134"/>
      </w:r>
      <w:r>
        <w:t xml:space="preserve"> </w:t>
      </w:r>
      <w:r w:rsidR="0084367C">
        <w:t xml:space="preserve">If your purpose is to record a transaction, it is not necessary to update </w:t>
      </w:r>
      <w:r w:rsidR="00DE3057">
        <w:t>personal contact details</w:t>
      </w:r>
      <w:r w:rsidR="00F732C9">
        <w:t>, although that can be very helpful when seeking to communicate with clients about proposed destruction of historical records.</w:t>
      </w:r>
    </w:p>
    <w:p w14:paraId="132C445A" w14:textId="77777777" w:rsidR="00635CDC" w:rsidRDefault="00635CDC">
      <w:pPr>
        <w:spacing w:after="0"/>
        <w:rPr>
          <w:b/>
          <w:color w:val="0F2D52"/>
          <w:sz w:val="28"/>
        </w:rPr>
      </w:pPr>
      <w:bookmarkStart w:id="265" w:name="_Toc220069970"/>
      <w:bookmarkStart w:id="266" w:name="_Toc220655116"/>
      <w:r>
        <w:br w:type="page"/>
      </w:r>
    </w:p>
    <w:p w14:paraId="60C1A7E6" w14:textId="19134434" w:rsidR="005776EE" w:rsidRDefault="005776EE" w:rsidP="00A30EAA">
      <w:pPr>
        <w:pStyle w:val="NumberedHeading2"/>
      </w:pPr>
      <w:bookmarkStart w:id="267" w:name="_Toc231895203"/>
      <w:r>
        <w:lastRenderedPageBreak/>
        <w:t>Cross-Border Considerations</w:t>
      </w:r>
      <w:bookmarkEnd w:id="265"/>
      <w:bookmarkEnd w:id="266"/>
      <w:bookmarkEnd w:id="267"/>
    </w:p>
    <w:p w14:paraId="00530AEF" w14:textId="69B49D9D" w:rsidR="005776EE" w:rsidRDefault="005776EE" w:rsidP="00A30EAA">
      <w:pPr>
        <w:pStyle w:val="Body"/>
      </w:pPr>
      <w:r>
        <w:t>APP 8 imposes requirements before disclosing personal information to overseas recipients.</w:t>
      </w:r>
      <w:r>
        <w:rPr>
          <w:rStyle w:val="FootnoteReference"/>
        </w:rPr>
        <w:footnoteReference w:id="135"/>
      </w:r>
      <w:r>
        <w:t xml:space="preserve"> </w:t>
      </w:r>
      <w:r w:rsidR="00EE55F5">
        <w:t>The most common ways overseas disclosure takes place for law firms are</w:t>
      </w:r>
      <w:r>
        <w:t>:</w:t>
      </w:r>
    </w:p>
    <w:p w14:paraId="0CD72747" w14:textId="7874D519" w:rsidR="005776EE" w:rsidRDefault="005776EE" w:rsidP="00A30EAA">
      <w:pPr>
        <w:pStyle w:val="ListParagraph"/>
      </w:pPr>
      <w:r>
        <w:t>Cloud services with overseas data storage (practice management systems, email, document storage);</w:t>
      </w:r>
    </w:p>
    <w:p w14:paraId="350A87F7" w14:textId="715821CA" w:rsidR="005776EE" w:rsidRDefault="005776EE" w:rsidP="00A30EAA">
      <w:pPr>
        <w:pStyle w:val="ListParagraph"/>
      </w:pPr>
      <w:r>
        <w:t>Correspondence with overseas parties or lawyers in cross-border matters;</w:t>
      </w:r>
    </w:p>
    <w:p w14:paraId="700EE749" w14:textId="329447F0" w:rsidR="005776EE" w:rsidRDefault="005776EE" w:rsidP="00A30EAA">
      <w:pPr>
        <w:pStyle w:val="ListParagraph"/>
      </w:pPr>
      <w:r>
        <w:t>Electronic identity verification services that access overseas databases.</w:t>
      </w:r>
    </w:p>
    <w:p w14:paraId="5B0F3D7F" w14:textId="27C4B512" w:rsidR="00EE55F5" w:rsidRDefault="00EE55F5" w:rsidP="00A30EAA">
      <w:pPr>
        <w:pStyle w:val="Body"/>
      </w:pPr>
      <w:r>
        <w:t xml:space="preserve">Ideally, cross-border transmission, </w:t>
      </w:r>
      <w:r w:rsidR="00A374A5">
        <w:t>processing or dissemination of information should be avoided. Careful consideration of software provider’s terms of service are an important risk control measure.</w:t>
      </w:r>
    </w:p>
    <w:p w14:paraId="16B237E9" w14:textId="65655EE9" w:rsidR="005776EE" w:rsidRDefault="005776EE" w:rsidP="00A30EAA">
      <w:pPr>
        <w:pStyle w:val="Body"/>
      </w:pPr>
      <w:r>
        <w:t>Before disclosing personal information overseas, the firm must take reasonable steps to ensure that the overseas recipient does not breach the APPs in relation to the information.</w:t>
      </w:r>
      <w:r>
        <w:rPr>
          <w:rStyle w:val="FootnoteReference"/>
        </w:rPr>
        <w:footnoteReference w:id="136"/>
      </w:r>
      <w:r>
        <w:t xml:space="preserve"> If disclosure occurs and the overseas recipient breaches the APPs, the disclosing entity is accountable as if it had committed the breach itself.</w:t>
      </w:r>
      <w:r>
        <w:rPr>
          <w:rStyle w:val="FootnoteReference"/>
        </w:rPr>
        <w:footnoteReference w:id="137"/>
      </w:r>
    </w:p>
    <w:tbl>
      <w:tblPr>
        <w:tblW w:w="5000" w:type="pct"/>
        <w:tblCellMar>
          <w:left w:w="10" w:type="dxa"/>
          <w:right w:w="10" w:type="dxa"/>
        </w:tblCellMar>
        <w:tblLook w:val="04A0" w:firstRow="1" w:lastRow="0" w:firstColumn="1" w:lastColumn="0" w:noHBand="0" w:noVBand="1"/>
      </w:tblPr>
      <w:tblGrid>
        <w:gridCol w:w="9026"/>
      </w:tblGrid>
      <w:tr w:rsidR="005776EE" w14:paraId="6859FE82" w14:textId="77777777" w:rsidTr="00961653">
        <w:tc>
          <w:tcPr>
            <w:tcW w:w="9026" w:type="dxa"/>
            <w:shd w:val="clear" w:color="auto" w:fill="D4EDDA"/>
            <w:tcMar>
              <w:top w:w="160" w:type="dxa"/>
              <w:left w:w="200" w:type="dxa"/>
              <w:bottom w:w="160" w:type="dxa"/>
              <w:right w:w="200" w:type="dxa"/>
            </w:tcMar>
          </w:tcPr>
          <w:p w14:paraId="4E17978C" w14:textId="77777777" w:rsidR="005776EE" w:rsidRPr="00961653" w:rsidRDefault="005776EE" w:rsidP="00A30EAA">
            <w:pPr>
              <w:pStyle w:val="Body"/>
              <w:rPr>
                <w:rStyle w:val="Strong"/>
              </w:rPr>
            </w:pPr>
            <w:r w:rsidRPr="00961653">
              <w:rPr>
                <w:rStyle w:val="Strong"/>
              </w:rPr>
              <w:t>Key Takeaways — Chapters 10, 11 and 12</w:t>
            </w:r>
          </w:p>
          <w:p w14:paraId="7A1DAEA5" w14:textId="1679461B" w:rsidR="005776EE" w:rsidRDefault="005776EE" w:rsidP="00A30EAA">
            <w:pPr>
              <w:pStyle w:val="ListParagraph"/>
            </w:pPr>
            <w:r>
              <w:t>Your privacy policy must address six mandatory matters under APP 1.4; use Document 01 template and customise for your firm.</w:t>
            </w:r>
          </w:p>
          <w:p w14:paraId="5FC1F982" w14:textId="23232619" w:rsidR="005776EE" w:rsidRDefault="005776EE" w:rsidP="00A30EAA">
            <w:pPr>
              <w:pStyle w:val="ListParagraph"/>
            </w:pPr>
            <w:r>
              <w:t>Collection notices are required at or before the time of collection; use the five templates in Document 02 for different collection scenarios.</w:t>
            </w:r>
          </w:p>
          <w:p w14:paraId="2F8DDCF3" w14:textId="3847520A" w:rsidR="005776EE" w:rsidRDefault="005776EE" w:rsidP="00A30EAA">
            <w:pPr>
              <w:pStyle w:val="ListParagraph"/>
            </w:pPr>
            <w:r>
              <w:t>The personal information inventory (Document 03) helps you know what you hold and where — essential for security, access requests, and breach response.</w:t>
            </w:r>
          </w:p>
          <w:p w14:paraId="70621F41" w14:textId="6823963B" w:rsidR="005776EE" w:rsidRDefault="005776EE" w:rsidP="00A30EAA">
            <w:pPr>
              <w:pStyle w:val="ListParagraph"/>
            </w:pPr>
            <w:r>
              <w:t>The retention schedule (Document 04) integrates AML/CTF, Legal Profession Act, and limitation period requirements — generally 7 years for most records.</w:t>
            </w:r>
          </w:p>
          <w:p w14:paraId="7F55FDAA" w14:textId="78FEF5AB" w:rsidR="005776EE" w:rsidRDefault="005776EE" w:rsidP="00A30EAA">
            <w:pPr>
              <w:pStyle w:val="ListParagraph"/>
            </w:pPr>
            <w:r>
              <w:t>Destroy information securely when no longer needed; maintain a destruction register.</w:t>
            </w:r>
          </w:p>
          <w:p w14:paraId="20F1691B" w14:textId="148CCF72" w:rsidR="005776EE" w:rsidRDefault="005776EE" w:rsidP="00A30EAA">
            <w:pPr>
              <w:pStyle w:val="ListParagraph"/>
            </w:pPr>
            <w:r>
              <w:t>Before disclosing overseas, take reasonable steps to ensure the recipient will handle information in accordance with the APPs.</w:t>
            </w:r>
          </w:p>
        </w:tc>
      </w:tr>
    </w:tbl>
    <w:p w14:paraId="50DCC470" w14:textId="77777777" w:rsidR="00635CDC" w:rsidRDefault="00635CDC" w:rsidP="00973158">
      <w:pPr>
        <w:pStyle w:val="Heading1"/>
      </w:pPr>
      <w:bookmarkStart w:id="268" w:name="_Toc220069971"/>
      <w:bookmarkStart w:id="269" w:name="_Toc220655117"/>
    </w:p>
    <w:p w14:paraId="11372801" w14:textId="77777777" w:rsidR="00635CDC" w:rsidRDefault="00635CDC">
      <w:pPr>
        <w:spacing w:after="0"/>
        <w:rPr>
          <w:b/>
          <w:bCs/>
          <w:color w:val="0F2D52"/>
          <w:kern w:val="32"/>
          <w:sz w:val="32"/>
          <w:szCs w:val="32"/>
        </w:rPr>
      </w:pPr>
      <w:r>
        <w:br w:type="page"/>
      </w:r>
    </w:p>
    <w:p w14:paraId="11557466" w14:textId="2DCB1EC6" w:rsidR="005776EE" w:rsidRDefault="005776EE" w:rsidP="00B8098D">
      <w:pPr>
        <w:pStyle w:val="NumberedHeading1"/>
      </w:pPr>
      <w:bookmarkStart w:id="270" w:name="_Toc231895204"/>
      <w:r>
        <w:lastRenderedPageBreak/>
        <w:t>Implementation Roadmap</w:t>
      </w:r>
      <w:bookmarkEnd w:id="268"/>
      <w:bookmarkEnd w:id="269"/>
      <w:bookmarkEnd w:id="270"/>
    </w:p>
    <w:p w14:paraId="165F3750" w14:textId="4763F52E" w:rsidR="005776EE" w:rsidRDefault="005776EE" w:rsidP="00A30EAA">
      <w:pPr>
        <w:pStyle w:val="Body"/>
      </w:pPr>
      <w:r>
        <w:t>Privacy compliance is not achieved overnight. It requires a systematic approach to developing documentation, implementing procedures, training staff, and embedding privacy into firm culture. This chapter provides a roadmap for implementation, designed to ensure your firm is compliant before privacy obligations commence on 1 July 2026.</w:t>
      </w:r>
      <w:r>
        <w:rPr>
          <w:rStyle w:val="FootnoteReference"/>
        </w:rPr>
        <w:footnoteReference w:id="138"/>
      </w:r>
    </w:p>
    <w:p w14:paraId="5DD9ABC3" w14:textId="6290C4FD" w:rsidR="005776EE" w:rsidRDefault="00F83CEB" w:rsidP="00A30EAA">
      <w:pPr>
        <w:pStyle w:val="NumberedHeading2"/>
      </w:pPr>
      <w:bookmarkStart w:id="271" w:name="_Toc220069972"/>
      <w:bookmarkStart w:id="272" w:name="_Toc220655118"/>
      <w:bookmarkStart w:id="273" w:name="_Toc231895205"/>
      <w:r>
        <w:t>Phased</w:t>
      </w:r>
      <w:r w:rsidR="008542B8">
        <w:t xml:space="preserve"> I</w:t>
      </w:r>
      <w:r w:rsidR="005776EE">
        <w:t>mplementation Timeline Overview</w:t>
      </w:r>
      <w:bookmarkEnd w:id="271"/>
      <w:bookmarkEnd w:id="272"/>
      <w:bookmarkEnd w:id="273"/>
    </w:p>
    <w:p w14:paraId="2A588A1F" w14:textId="076C6B1C" w:rsidR="00674A3F" w:rsidRDefault="007F0897" w:rsidP="00A30EAA">
      <w:pPr>
        <w:pStyle w:val="Body"/>
      </w:pPr>
      <w:r>
        <w:t xml:space="preserve">If your firm has not spent a lot of time on cybersecurity previously </w:t>
      </w:r>
      <w:r w:rsidR="0005330D">
        <w:t xml:space="preserve">more resources might be needed than currently mapped out in phase 3. </w:t>
      </w:r>
    </w:p>
    <w:tbl>
      <w:tblPr>
        <w:tblW w:w="5000" w:type="pct"/>
        <w:tblCellMar>
          <w:left w:w="10" w:type="dxa"/>
          <w:right w:w="10" w:type="dxa"/>
        </w:tblCellMar>
        <w:tblLook w:val="0000" w:firstRow="0" w:lastRow="0" w:firstColumn="0" w:lastColumn="0" w:noHBand="0" w:noVBand="0"/>
      </w:tblPr>
      <w:tblGrid>
        <w:gridCol w:w="1800"/>
        <w:gridCol w:w="2200"/>
        <w:gridCol w:w="5026"/>
      </w:tblGrid>
      <w:tr w:rsidR="005776EE" w14:paraId="184A5CC8" w14:textId="77777777" w:rsidTr="00A9333C">
        <w:tc>
          <w:tcPr>
            <w:tcW w:w="1800" w:type="dxa"/>
            <w:shd w:val="clear" w:color="auto" w:fill="0F2D52"/>
            <w:tcMar>
              <w:top w:w="100" w:type="dxa"/>
              <w:left w:w="120" w:type="dxa"/>
              <w:bottom w:w="100" w:type="dxa"/>
              <w:right w:w="120" w:type="dxa"/>
            </w:tcMar>
          </w:tcPr>
          <w:p w14:paraId="322A5BE6" w14:textId="77777777" w:rsidR="005776EE" w:rsidRDefault="005776EE" w:rsidP="00961653">
            <w:pPr>
              <w:pStyle w:val="TableHeading"/>
            </w:pPr>
            <w:r>
              <w:t>Phase</w:t>
            </w:r>
          </w:p>
        </w:tc>
        <w:tc>
          <w:tcPr>
            <w:tcW w:w="2200" w:type="dxa"/>
            <w:shd w:val="clear" w:color="auto" w:fill="0F2D52"/>
            <w:tcMar>
              <w:top w:w="100" w:type="dxa"/>
              <w:left w:w="120" w:type="dxa"/>
              <w:bottom w:w="100" w:type="dxa"/>
              <w:right w:w="120" w:type="dxa"/>
            </w:tcMar>
          </w:tcPr>
          <w:p w14:paraId="1E1455E9" w14:textId="77777777" w:rsidR="005776EE" w:rsidRDefault="005776EE" w:rsidP="00961653">
            <w:pPr>
              <w:pStyle w:val="TableHeading"/>
            </w:pPr>
            <w:r>
              <w:t>Timeframe</w:t>
            </w:r>
          </w:p>
        </w:tc>
        <w:tc>
          <w:tcPr>
            <w:tcW w:w="5026" w:type="dxa"/>
            <w:shd w:val="clear" w:color="auto" w:fill="0F2D52"/>
            <w:tcMar>
              <w:top w:w="100" w:type="dxa"/>
              <w:left w:w="120" w:type="dxa"/>
              <w:bottom w:w="100" w:type="dxa"/>
              <w:right w:w="120" w:type="dxa"/>
            </w:tcMar>
          </w:tcPr>
          <w:p w14:paraId="0D307D7A" w14:textId="77777777" w:rsidR="005776EE" w:rsidRDefault="005776EE" w:rsidP="00961653">
            <w:pPr>
              <w:pStyle w:val="TableHeading"/>
            </w:pPr>
            <w:r>
              <w:t>Key Activities</w:t>
            </w:r>
          </w:p>
        </w:tc>
      </w:tr>
      <w:tr w:rsidR="005776EE" w14:paraId="3DEA6894" w14:textId="77777777" w:rsidTr="00A9333C">
        <w:tc>
          <w:tcPr>
            <w:tcW w:w="1800" w:type="dxa"/>
            <w:tcBorders>
              <w:bottom w:val="single" w:sz="4" w:space="0" w:color="auto"/>
            </w:tcBorders>
            <w:shd w:val="clear" w:color="auto" w:fill="E3F2FD"/>
            <w:tcMar>
              <w:top w:w="100" w:type="dxa"/>
              <w:left w:w="120" w:type="dxa"/>
              <w:bottom w:w="100" w:type="dxa"/>
              <w:right w:w="120" w:type="dxa"/>
            </w:tcMar>
          </w:tcPr>
          <w:p w14:paraId="77D6259E" w14:textId="77777777" w:rsidR="005776EE" w:rsidRDefault="005776EE" w:rsidP="00961653">
            <w:pPr>
              <w:pStyle w:val="Tablecontent"/>
            </w:pPr>
            <w:r>
              <w:t>Phase 1: Foundation</w:t>
            </w:r>
          </w:p>
        </w:tc>
        <w:tc>
          <w:tcPr>
            <w:tcW w:w="2200" w:type="dxa"/>
            <w:tcBorders>
              <w:bottom w:val="single" w:sz="4" w:space="0" w:color="auto"/>
            </w:tcBorders>
            <w:shd w:val="clear" w:color="auto" w:fill="E3F2FD"/>
            <w:tcMar>
              <w:top w:w="100" w:type="dxa"/>
              <w:left w:w="120" w:type="dxa"/>
              <w:bottom w:w="100" w:type="dxa"/>
              <w:right w:w="120" w:type="dxa"/>
            </w:tcMar>
          </w:tcPr>
          <w:p w14:paraId="6D6E0ABE" w14:textId="27D3DE17" w:rsidR="005776EE" w:rsidRDefault="005776EE" w:rsidP="00961653">
            <w:pPr>
              <w:pStyle w:val="Tablecontent"/>
            </w:pPr>
            <w:r>
              <w:t xml:space="preserve"> Week </w:t>
            </w:r>
            <w:r w:rsidR="003366DB">
              <w:t>1</w:t>
            </w:r>
          </w:p>
        </w:tc>
        <w:tc>
          <w:tcPr>
            <w:tcW w:w="5026" w:type="dxa"/>
            <w:tcBorders>
              <w:bottom w:val="single" w:sz="4" w:space="0" w:color="auto"/>
            </w:tcBorders>
            <w:shd w:val="clear" w:color="auto" w:fill="E3F2FD"/>
            <w:tcMar>
              <w:top w:w="100" w:type="dxa"/>
              <w:left w:w="120" w:type="dxa"/>
              <w:bottom w:w="100" w:type="dxa"/>
              <w:right w:w="120" w:type="dxa"/>
            </w:tcMar>
          </w:tcPr>
          <w:p w14:paraId="319F0E0A" w14:textId="3B92655F" w:rsidR="005776EE" w:rsidRDefault="005776EE" w:rsidP="00961653">
            <w:pPr>
              <w:pStyle w:val="Tablecontent"/>
            </w:pPr>
            <w:r>
              <w:t>• Designate Privacy Officer • Complete gap assessment (Chapter 6) • Map designated services</w:t>
            </w:r>
            <w:r w:rsidR="00D55743">
              <w:t xml:space="preserve"> and the records that might be generated</w:t>
            </w:r>
            <w:r>
              <w:t xml:space="preserve"> • Review this manual • Brief principals and key staff</w:t>
            </w:r>
          </w:p>
        </w:tc>
      </w:tr>
      <w:tr w:rsidR="005776EE" w14:paraId="2165998A" w14:textId="77777777" w:rsidTr="00A9333C">
        <w:tc>
          <w:tcPr>
            <w:tcW w:w="1800" w:type="dxa"/>
            <w:tcBorders>
              <w:top w:val="single" w:sz="4" w:space="0" w:color="auto"/>
              <w:bottom w:val="single" w:sz="4" w:space="0" w:color="auto"/>
            </w:tcBorders>
            <w:shd w:val="clear" w:color="auto" w:fill="FFF3E0"/>
            <w:tcMar>
              <w:top w:w="100" w:type="dxa"/>
              <w:left w:w="120" w:type="dxa"/>
              <w:bottom w:w="100" w:type="dxa"/>
              <w:right w:w="120" w:type="dxa"/>
            </w:tcMar>
          </w:tcPr>
          <w:p w14:paraId="64BAD286" w14:textId="77777777" w:rsidR="005776EE" w:rsidRDefault="005776EE" w:rsidP="00961653">
            <w:pPr>
              <w:pStyle w:val="Tablecontent"/>
            </w:pPr>
            <w:r>
              <w:t>Phase 2: Documentation</w:t>
            </w:r>
          </w:p>
        </w:tc>
        <w:tc>
          <w:tcPr>
            <w:tcW w:w="2200" w:type="dxa"/>
            <w:tcBorders>
              <w:top w:val="single" w:sz="4" w:space="0" w:color="auto"/>
              <w:bottom w:val="single" w:sz="4" w:space="0" w:color="auto"/>
            </w:tcBorders>
            <w:shd w:val="clear" w:color="auto" w:fill="FFF3E0"/>
            <w:tcMar>
              <w:top w:w="100" w:type="dxa"/>
              <w:left w:w="120" w:type="dxa"/>
              <w:bottom w:w="100" w:type="dxa"/>
              <w:right w:w="120" w:type="dxa"/>
            </w:tcMar>
          </w:tcPr>
          <w:p w14:paraId="6E2B59EF" w14:textId="43042B85" w:rsidR="005776EE" w:rsidRDefault="005776EE" w:rsidP="00961653">
            <w:pPr>
              <w:pStyle w:val="Tablecontent"/>
            </w:pPr>
            <w:r>
              <w:t xml:space="preserve"> Week </w:t>
            </w:r>
            <w:r w:rsidR="003366DB">
              <w:t>2</w:t>
            </w:r>
          </w:p>
        </w:tc>
        <w:tc>
          <w:tcPr>
            <w:tcW w:w="5026" w:type="dxa"/>
            <w:tcBorders>
              <w:top w:val="single" w:sz="4" w:space="0" w:color="auto"/>
              <w:bottom w:val="single" w:sz="4" w:space="0" w:color="auto"/>
            </w:tcBorders>
            <w:shd w:val="clear" w:color="auto" w:fill="FFF3E0"/>
            <w:tcMar>
              <w:top w:w="100" w:type="dxa"/>
              <w:left w:w="120" w:type="dxa"/>
              <w:bottom w:w="100" w:type="dxa"/>
              <w:right w:w="120" w:type="dxa"/>
            </w:tcMar>
          </w:tcPr>
          <w:p w14:paraId="10261E50" w14:textId="5EA82DE1" w:rsidR="005776EE" w:rsidRDefault="005776EE" w:rsidP="00961653">
            <w:pPr>
              <w:pStyle w:val="Tablecontent"/>
            </w:pPr>
            <w:r>
              <w:t>• Customise privacy policy (Doc 01) • Customise collection notice</w:t>
            </w:r>
            <w:r w:rsidR="00CC2925">
              <w:t>(s)</w:t>
            </w:r>
            <w:r>
              <w:t xml:space="preserve"> (Doc 02) • Complete PI inventory (Doc 03)</w:t>
            </w:r>
            <w:r w:rsidR="00244838">
              <w:t xml:space="preserve"> – set aside a bit more time for this</w:t>
            </w:r>
            <w:r>
              <w:t xml:space="preserve"> • Finalise retention schedule (Doc 04) • Develop breach response plan (Doc 05) • Conduct threshold PIA (Doc 06)</w:t>
            </w:r>
          </w:p>
        </w:tc>
      </w:tr>
      <w:tr w:rsidR="005776EE" w14:paraId="5337621F" w14:textId="77777777" w:rsidTr="00A9333C">
        <w:tc>
          <w:tcPr>
            <w:tcW w:w="1800" w:type="dxa"/>
            <w:tcBorders>
              <w:top w:val="single" w:sz="4" w:space="0" w:color="auto"/>
              <w:bottom w:val="single" w:sz="4" w:space="0" w:color="auto"/>
            </w:tcBorders>
            <w:shd w:val="clear" w:color="auto" w:fill="E8F5E9"/>
            <w:tcMar>
              <w:top w:w="100" w:type="dxa"/>
              <w:left w:w="120" w:type="dxa"/>
              <w:bottom w:w="100" w:type="dxa"/>
              <w:right w:w="120" w:type="dxa"/>
            </w:tcMar>
          </w:tcPr>
          <w:p w14:paraId="51BFF8A2" w14:textId="77777777" w:rsidR="005776EE" w:rsidRDefault="005776EE" w:rsidP="00961653">
            <w:pPr>
              <w:pStyle w:val="Tablecontent"/>
            </w:pPr>
            <w:r>
              <w:t>Phase 3: Implementation</w:t>
            </w:r>
          </w:p>
        </w:tc>
        <w:tc>
          <w:tcPr>
            <w:tcW w:w="2200" w:type="dxa"/>
            <w:tcBorders>
              <w:top w:val="single" w:sz="4" w:space="0" w:color="auto"/>
              <w:bottom w:val="single" w:sz="4" w:space="0" w:color="auto"/>
            </w:tcBorders>
            <w:shd w:val="clear" w:color="auto" w:fill="E8F5E9"/>
            <w:tcMar>
              <w:top w:w="100" w:type="dxa"/>
              <w:left w:w="120" w:type="dxa"/>
              <w:bottom w:w="100" w:type="dxa"/>
              <w:right w:w="120" w:type="dxa"/>
            </w:tcMar>
          </w:tcPr>
          <w:p w14:paraId="4CB22CDA" w14:textId="1D1E8F2B" w:rsidR="005776EE" w:rsidRDefault="005776EE" w:rsidP="00961653">
            <w:pPr>
              <w:pStyle w:val="Tablecontent"/>
            </w:pPr>
            <w:r>
              <w:t xml:space="preserve">Weeks </w:t>
            </w:r>
            <w:r w:rsidR="003366DB">
              <w:t>3</w:t>
            </w:r>
          </w:p>
        </w:tc>
        <w:tc>
          <w:tcPr>
            <w:tcW w:w="5026" w:type="dxa"/>
            <w:tcBorders>
              <w:top w:val="single" w:sz="4" w:space="0" w:color="auto"/>
              <w:bottom w:val="single" w:sz="4" w:space="0" w:color="auto"/>
            </w:tcBorders>
            <w:shd w:val="clear" w:color="auto" w:fill="E8F5E9"/>
            <w:tcMar>
              <w:top w:w="100" w:type="dxa"/>
              <w:left w:w="120" w:type="dxa"/>
              <w:bottom w:w="100" w:type="dxa"/>
              <w:right w:w="120" w:type="dxa"/>
            </w:tcMar>
          </w:tcPr>
          <w:p w14:paraId="6A6F8467" w14:textId="7085DDF6" w:rsidR="005776EE" w:rsidRDefault="005776EE" w:rsidP="00961653">
            <w:pPr>
              <w:pStyle w:val="Tablecontent"/>
            </w:pPr>
            <w:r>
              <w:t>• Publish privacy policy on website • Update engagement letter templates • Implement security measures • Train all staff (Doc 07) • Update website forms</w:t>
            </w:r>
          </w:p>
        </w:tc>
      </w:tr>
      <w:tr w:rsidR="005776EE" w14:paraId="0070C921" w14:textId="77777777" w:rsidTr="00A9333C">
        <w:tc>
          <w:tcPr>
            <w:tcW w:w="1800" w:type="dxa"/>
            <w:tcBorders>
              <w:top w:val="single" w:sz="4" w:space="0" w:color="auto"/>
              <w:bottom w:val="single" w:sz="4" w:space="0" w:color="auto"/>
            </w:tcBorders>
            <w:shd w:val="clear" w:color="auto" w:fill="F3E5F5"/>
            <w:tcMar>
              <w:top w:w="100" w:type="dxa"/>
              <w:left w:w="120" w:type="dxa"/>
              <w:bottom w:w="100" w:type="dxa"/>
              <w:right w:w="120" w:type="dxa"/>
            </w:tcMar>
          </w:tcPr>
          <w:p w14:paraId="0EBC1F06" w14:textId="77777777" w:rsidR="005776EE" w:rsidRDefault="005776EE" w:rsidP="00961653">
            <w:pPr>
              <w:pStyle w:val="Tablecontent"/>
            </w:pPr>
            <w:r>
              <w:t>Phase 4: Readiness</w:t>
            </w:r>
          </w:p>
        </w:tc>
        <w:tc>
          <w:tcPr>
            <w:tcW w:w="2200" w:type="dxa"/>
            <w:tcBorders>
              <w:top w:val="single" w:sz="4" w:space="0" w:color="auto"/>
              <w:bottom w:val="single" w:sz="4" w:space="0" w:color="auto"/>
            </w:tcBorders>
            <w:shd w:val="clear" w:color="auto" w:fill="F3E5F5"/>
            <w:tcMar>
              <w:top w:w="100" w:type="dxa"/>
              <w:left w:w="120" w:type="dxa"/>
              <w:bottom w:w="100" w:type="dxa"/>
              <w:right w:w="120" w:type="dxa"/>
            </w:tcMar>
          </w:tcPr>
          <w:p w14:paraId="61FEE1E6" w14:textId="426DF21C" w:rsidR="005776EE" w:rsidRDefault="003366DB" w:rsidP="00961653">
            <w:pPr>
              <w:pStyle w:val="Tablecontent"/>
            </w:pPr>
            <w:r>
              <w:t>Week 4</w:t>
            </w:r>
          </w:p>
        </w:tc>
        <w:tc>
          <w:tcPr>
            <w:tcW w:w="5026" w:type="dxa"/>
            <w:tcBorders>
              <w:top w:val="single" w:sz="4" w:space="0" w:color="auto"/>
              <w:bottom w:val="single" w:sz="4" w:space="0" w:color="auto"/>
            </w:tcBorders>
            <w:shd w:val="clear" w:color="auto" w:fill="F3E5F5"/>
            <w:tcMar>
              <w:top w:w="100" w:type="dxa"/>
              <w:left w:w="120" w:type="dxa"/>
              <w:bottom w:w="100" w:type="dxa"/>
              <w:right w:w="120" w:type="dxa"/>
            </w:tcMar>
          </w:tcPr>
          <w:p w14:paraId="0A2D21A7" w14:textId="61D7B6CB" w:rsidR="005776EE" w:rsidRDefault="005776EE" w:rsidP="00961653">
            <w:pPr>
              <w:pStyle w:val="Tablecontent"/>
            </w:pPr>
            <w:r>
              <w:t>• Final review of all documentation • Address any gaps identified • Confirm staff understand procedures • Principal sign-off on readiness</w:t>
            </w:r>
          </w:p>
        </w:tc>
      </w:tr>
    </w:tbl>
    <w:p w14:paraId="2528EFB0" w14:textId="2A1E9F51" w:rsidR="005776EE" w:rsidRDefault="005776EE" w:rsidP="00A30EAA">
      <w:pPr>
        <w:pStyle w:val="NumberedHeading2"/>
      </w:pPr>
      <w:bookmarkStart w:id="274" w:name="_Toc231895206"/>
      <w:bookmarkStart w:id="275" w:name="_Toc220069973"/>
      <w:bookmarkStart w:id="276" w:name="_Toc220655119"/>
      <w:r>
        <w:t>Phase 1: Foundation</w:t>
      </w:r>
      <w:bookmarkEnd w:id="274"/>
      <w:r>
        <w:t xml:space="preserve"> </w:t>
      </w:r>
      <w:bookmarkEnd w:id="275"/>
      <w:bookmarkEnd w:id="276"/>
    </w:p>
    <w:p w14:paraId="7DACC49B" w14:textId="77777777" w:rsidR="005776EE" w:rsidRDefault="005776EE" w:rsidP="00973158">
      <w:pPr>
        <w:pStyle w:val="Heading3"/>
      </w:pPr>
      <w:bookmarkStart w:id="277" w:name="_Toc220069974"/>
      <w:r>
        <w:t>Designate a Privacy Officer</w:t>
      </w:r>
      <w:bookmarkEnd w:id="277"/>
    </w:p>
    <w:p w14:paraId="67FF6DB9" w14:textId="77777777" w:rsidR="005776EE" w:rsidRDefault="005776EE" w:rsidP="00A30EAA">
      <w:pPr>
        <w:pStyle w:val="Body"/>
      </w:pPr>
      <w:r>
        <w:t>Identify the individual who will be responsible for privacy compliance.</w:t>
      </w:r>
      <w:r>
        <w:rPr>
          <w:rStyle w:val="FootnoteReference"/>
        </w:rPr>
        <w:footnoteReference w:id="139"/>
      </w:r>
      <w:r>
        <w:t xml:space="preserve"> In a small firm, this is typically a Principal. The Privacy Officer should have authority to make decisions about privacy matters and allocate resources to compliance activities. Document this appointment.</w:t>
      </w:r>
    </w:p>
    <w:p w14:paraId="4D213ABB" w14:textId="77777777" w:rsidR="005776EE" w:rsidRDefault="005776EE" w:rsidP="00973158">
      <w:pPr>
        <w:pStyle w:val="Heading3"/>
      </w:pPr>
      <w:bookmarkStart w:id="278" w:name="_Toc220069975"/>
      <w:r>
        <w:t>Complete the gap assessment</w:t>
      </w:r>
      <w:bookmarkEnd w:id="278"/>
    </w:p>
    <w:p w14:paraId="0ED700B0" w14:textId="77777777" w:rsidR="005776EE" w:rsidRDefault="005776EE" w:rsidP="00A30EAA">
      <w:pPr>
        <w:pStyle w:val="Body"/>
      </w:pPr>
      <w:r>
        <w:t>Using the checklists in Chapter 6, assess your firm's current practices against privacy requirements. This identifies what you already have in place and where work is needed. The results inform the prioritisation of Phase 2 activities.</w:t>
      </w:r>
    </w:p>
    <w:p w14:paraId="694210DD" w14:textId="77777777" w:rsidR="005776EE" w:rsidRDefault="005776EE" w:rsidP="00973158">
      <w:pPr>
        <w:pStyle w:val="Heading3"/>
      </w:pPr>
      <w:bookmarkStart w:id="279" w:name="_Toc220069976"/>
      <w:r>
        <w:t>Map designated services</w:t>
      </w:r>
      <w:bookmarkEnd w:id="279"/>
    </w:p>
    <w:p w14:paraId="268DDF94" w14:textId="5721B8F8" w:rsidR="005776EE" w:rsidRDefault="005776EE" w:rsidP="00A30EAA">
      <w:pPr>
        <w:pStyle w:val="Body"/>
      </w:pPr>
      <w:r>
        <w:t>Review Chapter 9.1 and determine which of your firm's services are 'designated services' under the AML/CTF Act. This confirms the scope of your AML/CTF obligations and consequently your privacy obligations.</w:t>
      </w:r>
      <w:r w:rsidR="008D6083">
        <w:t xml:space="preserve"> Consider what “personal information” will be collected for AML purposes.</w:t>
      </w:r>
    </w:p>
    <w:p w14:paraId="2BC6FCD2" w14:textId="70880862" w:rsidR="005776EE" w:rsidRDefault="005776EE" w:rsidP="00A30EAA">
      <w:pPr>
        <w:pStyle w:val="NumberedHeading2"/>
      </w:pPr>
      <w:bookmarkStart w:id="280" w:name="_Toc231895207"/>
      <w:bookmarkStart w:id="281" w:name="_Toc220069977"/>
      <w:bookmarkStart w:id="282" w:name="_Toc220655120"/>
      <w:r>
        <w:lastRenderedPageBreak/>
        <w:t>Phase 2: Documentation</w:t>
      </w:r>
      <w:bookmarkEnd w:id="280"/>
      <w:r>
        <w:t xml:space="preserve"> </w:t>
      </w:r>
      <w:bookmarkEnd w:id="281"/>
      <w:bookmarkEnd w:id="282"/>
    </w:p>
    <w:p w14:paraId="0BDDC5C8" w14:textId="77777777" w:rsidR="005776EE" w:rsidRDefault="005776EE" w:rsidP="00A30EAA">
      <w:pPr>
        <w:pStyle w:val="Body"/>
      </w:pPr>
      <w:r>
        <w:t>The documentation phase involves customising and finalising the core compliance documents.</w:t>
      </w:r>
      <w:r>
        <w:rPr>
          <w:rStyle w:val="FootnoteReference"/>
        </w:rPr>
        <w:footnoteReference w:id="140"/>
      </w:r>
      <w:r>
        <w:t xml:space="preserve"> Work through each toolkit document systematically:</w:t>
      </w:r>
    </w:p>
    <w:tbl>
      <w:tblPr>
        <w:tblW w:w="5000" w:type="pct"/>
        <w:tblCellMar>
          <w:left w:w="10" w:type="dxa"/>
          <w:right w:w="10" w:type="dxa"/>
        </w:tblCellMar>
        <w:tblLook w:val="0000" w:firstRow="0" w:lastRow="0" w:firstColumn="0" w:lastColumn="0" w:noHBand="0" w:noVBand="0"/>
      </w:tblPr>
      <w:tblGrid>
        <w:gridCol w:w="3461"/>
        <w:gridCol w:w="5565"/>
      </w:tblGrid>
      <w:tr w:rsidR="008542B8" w14:paraId="174483B8" w14:textId="77777777" w:rsidTr="00A9333C">
        <w:tc>
          <w:tcPr>
            <w:tcW w:w="1917" w:type="pct"/>
            <w:shd w:val="clear" w:color="auto" w:fill="0F2D52"/>
            <w:tcMar>
              <w:top w:w="100" w:type="dxa"/>
              <w:left w:w="120" w:type="dxa"/>
              <w:bottom w:w="100" w:type="dxa"/>
              <w:right w:w="120" w:type="dxa"/>
            </w:tcMar>
          </w:tcPr>
          <w:p w14:paraId="5440E351" w14:textId="77777777" w:rsidR="008542B8" w:rsidRPr="008542B8" w:rsidRDefault="008542B8" w:rsidP="00961653">
            <w:pPr>
              <w:pStyle w:val="TableHeading"/>
            </w:pPr>
            <w:r w:rsidRPr="008542B8">
              <w:t>Document</w:t>
            </w:r>
          </w:p>
        </w:tc>
        <w:tc>
          <w:tcPr>
            <w:tcW w:w="3083" w:type="pct"/>
            <w:shd w:val="clear" w:color="auto" w:fill="0F2D52"/>
            <w:tcMar>
              <w:top w:w="100" w:type="dxa"/>
              <w:left w:w="120" w:type="dxa"/>
              <w:bottom w:w="100" w:type="dxa"/>
              <w:right w:w="120" w:type="dxa"/>
            </w:tcMar>
          </w:tcPr>
          <w:p w14:paraId="585D8858" w14:textId="77777777" w:rsidR="008542B8" w:rsidRPr="008542B8" w:rsidRDefault="008542B8" w:rsidP="00961653">
            <w:pPr>
              <w:pStyle w:val="TableHeading"/>
            </w:pPr>
            <w:r w:rsidRPr="008542B8">
              <w:t>Key Actions</w:t>
            </w:r>
          </w:p>
        </w:tc>
      </w:tr>
      <w:tr w:rsidR="008542B8" w14:paraId="628892E2" w14:textId="77777777" w:rsidTr="00A9333C">
        <w:tc>
          <w:tcPr>
            <w:tcW w:w="1917" w:type="pct"/>
            <w:tcBorders>
              <w:bottom w:val="single" w:sz="4" w:space="0" w:color="auto"/>
            </w:tcBorders>
            <w:tcMar>
              <w:top w:w="100" w:type="dxa"/>
              <w:left w:w="120" w:type="dxa"/>
              <w:bottom w:w="100" w:type="dxa"/>
              <w:right w:w="120" w:type="dxa"/>
            </w:tcMar>
          </w:tcPr>
          <w:p w14:paraId="0AC59746" w14:textId="77777777" w:rsidR="008542B8" w:rsidRDefault="008542B8" w:rsidP="00961653">
            <w:pPr>
              <w:pStyle w:val="Tablecontent"/>
            </w:pPr>
            <w:r>
              <w:t>Doc 03: PI Inventory</w:t>
            </w:r>
          </w:p>
        </w:tc>
        <w:tc>
          <w:tcPr>
            <w:tcW w:w="3083" w:type="pct"/>
            <w:tcBorders>
              <w:bottom w:val="single" w:sz="4" w:space="0" w:color="auto"/>
            </w:tcBorders>
            <w:tcMar>
              <w:top w:w="100" w:type="dxa"/>
              <w:left w:w="120" w:type="dxa"/>
              <w:bottom w:w="100" w:type="dxa"/>
              <w:right w:w="120" w:type="dxa"/>
            </w:tcMar>
          </w:tcPr>
          <w:p w14:paraId="59490D1A" w14:textId="77777777" w:rsidR="008542B8" w:rsidRDefault="008542B8" w:rsidP="00961653">
            <w:pPr>
              <w:pStyle w:val="Tablecontent"/>
            </w:pPr>
            <w:r>
              <w:t>Map all personal information holdings; identify storage locations, access, sensitivity</w:t>
            </w:r>
          </w:p>
        </w:tc>
      </w:tr>
      <w:tr w:rsidR="008542B8" w14:paraId="30CE894A" w14:textId="77777777" w:rsidTr="00A9333C">
        <w:tc>
          <w:tcPr>
            <w:tcW w:w="1917" w:type="pct"/>
            <w:tcBorders>
              <w:top w:val="single" w:sz="4" w:space="0" w:color="auto"/>
              <w:bottom w:val="single" w:sz="4" w:space="0" w:color="auto"/>
            </w:tcBorders>
            <w:tcMar>
              <w:top w:w="100" w:type="dxa"/>
              <w:left w:w="120" w:type="dxa"/>
              <w:bottom w:w="100" w:type="dxa"/>
              <w:right w:w="120" w:type="dxa"/>
            </w:tcMar>
          </w:tcPr>
          <w:p w14:paraId="0AE4BA61" w14:textId="77777777" w:rsidR="008542B8" w:rsidRDefault="008542B8" w:rsidP="00961653">
            <w:pPr>
              <w:pStyle w:val="Tablecontent"/>
            </w:pPr>
            <w:r>
              <w:t>Doc 04: Retention Schedule</w:t>
            </w:r>
          </w:p>
        </w:tc>
        <w:tc>
          <w:tcPr>
            <w:tcW w:w="3083" w:type="pct"/>
            <w:tcBorders>
              <w:top w:val="single" w:sz="4" w:space="0" w:color="auto"/>
              <w:bottom w:val="single" w:sz="4" w:space="0" w:color="auto"/>
            </w:tcBorders>
            <w:tcMar>
              <w:top w:w="100" w:type="dxa"/>
              <w:left w:w="120" w:type="dxa"/>
              <w:bottom w:w="100" w:type="dxa"/>
              <w:right w:w="120" w:type="dxa"/>
            </w:tcMar>
          </w:tcPr>
          <w:p w14:paraId="03CED503" w14:textId="77777777" w:rsidR="008542B8" w:rsidRDefault="008542B8" w:rsidP="00961653">
            <w:pPr>
              <w:pStyle w:val="Tablecontent"/>
            </w:pPr>
            <w:r>
              <w:t>Review retention requirements; map to information categories; document trigger dates</w:t>
            </w:r>
          </w:p>
        </w:tc>
      </w:tr>
      <w:tr w:rsidR="008542B8" w14:paraId="7C8FAC8F" w14:textId="77777777" w:rsidTr="00A9333C">
        <w:tc>
          <w:tcPr>
            <w:tcW w:w="1917" w:type="pct"/>
            <w:tcBorders>
              <w:top w:val="single" w:sz="4" w:space="0" w:color="auto"/>
              <w:bottom w:val="single" w:sz="4" w:space="0" w:color="auto"/>
            </w:tcBorders>
            <w:tcMar>
              <w:top w:w="100" w:type="dxa"/>
              <w:left w:w="120" w:type="dxa"/>
              <w:bottom w:w="100" w:type="dxa"/>
              <w:right w:w="120" w:type="dxa"/>
            </w:tcMar>
          </w:tcPr>
          <w:p w14:paraId="04958E36" w14:textId="77777777" w:rsidR="008542B8" w:rsidRDefault="008542B8" w:rsidP="00961653">
            <w:pPr>
              <w:pStyle w:val="Tablecontent"/>
            </w:pPr>
            <w:r>
              <w:t>Doc 01: Privacy Policy</w:t>
            </w:r>
          </w:p>
        </w:tc>
        <w:tc>
          <w:tcPr>
            <w:tcW w:w="3083" w:type="pct"/>
            <w:tcBorders>
              <w:top w:val="single" w:sz="4" w:space="0" w:color="auto"/>
              <w:bottom w:val="single" w:sz="4" w:space="0" w:color="auto"/>
            </w:tcBorders>
            <w:tcMar>
              <w:top w:w="100" w:type="dxa"/>
              <w:left w:w="120" w:type="dxa"/>
              <w:bottom w:w="100" w:type="dxa"/>
              <w:right w:w="120" w:type="dxa"/>
            </w:tcMar>
          </w:tcPr>
          <w:p w14:paraId="787D5E18" w14:textId="77777777" w:rsidR="008542B8" w:rsidRDefault="008542B8" w:rsidP="00961653">
            <w:pPr>
              <w:pStyle w:val="Tablecontent"/>
            </w:pPr>
            <w:r>
              <w:t>Customise template; review for accuracy; obtain principal approval</w:t>
            </w:r>
          </w:p>
        </w:tc>
      </w:tr>
      <w:tr w:rsidR="008542B8" w14:paraId="37F10E43" w14:textId="77777777" w:rsidTr="00A9333C">
        <w:tc>
          <w:tcPr>
            <w:tcW w:w="1917" w:type="pct"/>
            <w:tcBorders>
              <w:top w:val="single" w:sz="4" w:space="0" w:color="auto"/>
              <w:bottom w:val="single" w:sz="4" w:space="0" w:color="auto"/>
            </w:tcBorders>
            <w:tcMar>
              <w:top w:w="100" w:type="dxa"/>
              <w:left w:w="120" w:type="dxa"/>
              <w:bottom w:w="100" w:type="dxa"/>
              <w:right w:w="120" w:type="dxa"/>
            </w:tcMar>
          </w:tcPr>
          <w:p w14:paraId="475C18C6" w14:textId="77777777" w:rsidR="008542B8" w:rsidRDefault="008542B8" w:rsidP="00961653">
            <w:pPr>
              <w:pStyle w:val="Tablecontent"/>
            </w:pPr>
            <w:r>
              <w:t>Doc 02: Collection Notices</w:t>
            </w:r>
          </w:p>
        </w:tc>
        <w:tc>
          <w:tcPr>
            <w:tcW w:w="3083" w:type="pct"/>
            <w:tcBorders>
              <w:top w:val="single" w:sz="4" w:space="0" w:color="auto"/>
              <w:bottom w:val="single" w:sz="4" w:space="0" w:color="auto"/>
            </w:tcBorders>
            <w:tcMar>
              <w:top w:w="100" w:type="dxa"/>
              <w:left w:w="120" w:type="dxa"/>
              <w:bottom w:w="100" w:type="dxa"/>
              <w:right w:w="120" w:type="dxa"/>
            </w:tcMar>
          </w:tcPr>
          <w:p w14:paraId="332F482F" w14:textId="77777777" w:rsidR="008542B8" w:rsidRDefault="008542B8" w:rsidP="00961653">
            <w:pPr>
              <w:pStyle w:val="Tablecontent"/>
            </w:pPr>
            <w:r>
              <w:t>Customise all five templates; integrate with engagement processes</w:t>
            </w:r>
          </w:p>
        </w:tc>
      </w:tr>
      <w:tr w:rsidR="008542B8" w14:paraId="41E12461" w14:textId="77777777" w:rsidTr="00A9333C">
        <w:tc>
          <w:tcPr>
            <w:tcW w:w="1917" w:type="pct"/>
            <w:tcBorders>
              <w:top w:val="single" w:sz="4" w:space="0" w:color="auto"/>
              <w:bottom w:val="single" w:sz="4" w:space="0" w:color="auto"/>
            </w:tcBorders>
            <w:tcMar>
              <w:top w:w="100" w:type="dxa"/>
              <w:left w:w="120" w:type="dxa"/>
              <w:bottom w:w="100" w:type="dxa"/>
              <w:right w:w="120" w:type="dxa"/>
            </w:tcMar>
          </w:tcPr>
          <w:p w14:paraId="2E29E4A2" w14:textId="77777777" w:rsidR="008542B8" w:rsidRDefault="008542B8" w:rsidP="00961653">
            <w:pPr>
              <w:pStyle w:val="Tablecontent"/>
            </w:pPr>
            <w:r>
              <w:t>Doc 05: Breach Response Plan</w:t>
            </w:r>
          </w:p>
        </w:tc>
        <w:tc>
          <w:tcPr>
            <w:tcW w:w="3083" w:type="pct"/>
            <w:tcBorders>
              <w:top w:val="single" w:sz="4" w:space="0" w:color="auto"/>
              <w:bottom w:val="single" w:sz="4" w:space="0" w:color="auto"/>
            </w:tcBorders>
            <w:tcMar>
              <w:top w:w="100" w:type="dxa"/>
              <w:left w:w="120" w:type="dxa"/>
              <w:bottom w:w="100" w:type="dxa"/>
              <w:right w:w="120" w:type="dxa"/>
            </w:tcMar>
          </w:tcPr>
          <w:p w14:paraId="1834EFD3" w14:textId="77777777" w:rsidR="008542B8" w:rsidRDefault="008542B8" w:rsidP="00961653">
            <w:pPr>
              <w:pStyle w:val="Tablecontent"/>
            </w:pPr>
            <w:r>
              <w:t>Customise plan; identify response team; document contact lists</w:t>
            </w:r>
          </w:p>
        </w:tc>
      </w:tr>
      <w:tr w:rsidR="008542B8" w14:paraId="096E5BD3" w14:textId="77777777" w:rsidTr="00A9333C">
        <w:tc>
          <w:tcPr>
            <w:tcW w:w="1917" w:type="pct"/>
            <w:tcBorders>
              <w:top w:val="single" w:sz="4" w:space="0" w:color="auto"/>
              <w:bottom w:val="single" w:sz="4" w:space="0" w:color="auto"/>
            </w:tcBorders>
            <w:tcMar>
              <w:top w:w="100" w:type="dxa"/>
              <w:left w:w="120" w:type="dxa"/>
              <w:bottom w:w="100" w:type="dxa"/>
              <w:right w:w="120" w:type="dxa"/>
            </w:tcMar>
          </w:tcPr>
          <w:p w14:paraId="51E2EDE0" w14:textId="77777777" w:rsidR="008542B8" w:rsidRDefault="008542B8" w:rsidP="00961653">
            <w:pPr>
              <w:pStyle w:val="Tablecontent"/>
            </w:pPr>
            <w:r>
              <w:t>Doc 06: PIA Framework</w:t>
            </w:r>
          </w:p>
        </w:tc>
        <w:tc>
          <w:tcPr>
            <w:tcW w:w="3083" w:type="pct"/>
            <w:tcBorders>
              <w:top w:val="single" w:sz="4" w:space="0" w:color="auto"/>
              <w:bottom w:val="single" w:sz="4" w:space="0" w:color="auto"/>
            </w:tcBorders>
            <w:tcMar>
              <w:top w:w="100" w:type="dxa"/>
              <w:left w:w="120" w:type="dxa"/>
              <w:bottom w:w="100" w:type="dxa"/>
              <w:right w:w="120" w:type="dxa"/>
            </w:tcMar>
          </w:tcPr>
          <w:p w14:paraId="09CC9B4C" w14:textId="77777777" w:rsidR="008542B8" w:rsidRDefault="008542B8" w:rsidP="00961653">
            <w:pPr>
              <w:pStyle w:val="Tablecontent"/>
            </w:pPr>
            <w:r>
              <w:t>Complete threshold assessment; identify high-risk processes; plan any full PIAs</w:t>
            </w:r>
          </w:p>
        </w:tc>
      </w:tr>
      <w:tr w:rsidR="008542B8" w14:paraId="10353F1C" w14:textId="77777777" w:rsidTr="00A9333C">
        <w:tc>
          <w:tcPr>
            <w:tcW w:w="1917" w:type="pct"/>
            <w:tcBorders>
              <w:top w:val="single" w:sz="4" w:space="0" w:color="auto"/>
              <w:bottom w:val="single" w:sz="4" w:space="0" w:color="auto"/>
            </w:tcBorders>
            <w:tcMar>
              <w:top w:w="100" w:type="dxa"/>
              <w:left w:w="120" w:type="dxa"/>
              <w:bottom w:w="100" w:type="dxa"/>
              <w:right w:w="120" w:type="dxa"/>
            </w:tcMar>
          </w:tcPr>
          <w:p w14:paraId="539C4720" w14:textId="77777777" w:rsidR="008542B8" w:rsidRDefault="008542B8" w:rsidP="00961653">
            <w:pPr>
              <w:pStyle w:val="Tablecontent"/>
            </w:pPr>
            <w:r>
              <w:t>Doc 07: Training Framework</w:t>
            </w:r>
          </w:p>
        </w:tc>
        <w:tc>
          <w:tcPr>
            <w:tcW w:w="3083" w:type="pct"/>
            <w:tcBorders>
              <w:top w:val="single" w:sz="4" w:space="0" w:color="auto"/>
              <w:bottom w:val="single" w:sz="4" w:space="0" w:color="auto"/>
            </w:tcBorders>
            <w:tcMar>
              <w:top w:w="100" w:type="dxa"/>
              <w:left w:w="120" w:type="dxa"/>
              <w:bottom w:w="100" w:type="dxa"/>
              <w:right w:w="120" w:type="dxa"/>
            </w:tcMar>
          </w:tcPr>
          <w:p w14:paraId="2D617E41" w14:textId="77777777" w:rsidR="008542B8" w:rsidRDefault="008542B8" w:rsidP="00961653">
            <w:pPr>
              <w:pStyle w:val="Tablecontent"/>
            </w:pPr>
            <w:r>
              <w:t>Develop training content; schedule training sessions; prepare materials</w:t>
            </w:r>
          </w:p>
        </w:tc>
      </w:tr>
    </w:tbl>
    <w:p w14:paraId="7DE00B3B" w14:textId="05673ECE" w:rsidR="005776EE" w:rsidRDefault="005776EE" w:rsidP="00A30EAA">
      <w:pPr>
        <w:pStyle w:val="NumberedHeading2"/>
      </w:pPr>
      <w:bookmarkStart w:id="283" w:name="_Toc231895208"/>
      <w:bookmarkStart w:id="284" w:name="_Toc220069978"/>
      <w:bookmarkStart w:id="285" w:name="_Toc220655121"/>
      <w:r>
        <w:t>Phase 3: Implementation</w:t>
      </w:r>
      <w:bookmarkEnd w:id="283"/>
      <w:r>
        <w:t xml:space="preserve"> </w:t>
      </w:r>
      <w:bookmarkEnd w:id="284"/>
      <w:bookmarkEnd w:id="285"/>
    </w:p>
    <w:p w14:paraId="171BCCC0" w14:textId="77777777" w:rsidR="005776EE" w:rsidRDefault="005776EE" w:rsidP="00A30EAA">
      <w:pPr>
        <w:pStyle w:val="Body"/>
      </w:pPr>
      <w:r>
        <w:t>The implementation phase puts your documentation into practice.</w:t>
      </w:r>
      <w:r>
        <w:rPr>
          <w:rStyle w:val="FootnoteReference"/>
        </w:rPr>
        <w:footnoteReference w:id="141"/>
      </w:r>
      <w:r>
        <w:t xml:space="preserve"> Key activities:</w:t>
      </w:r>
    </w:p>
    <w:p w14:paraId="208A8E09" w14:textId="6C5E3571" w:rsidR="005776EE" w:rsidRDefault="005776EE" w:rsidP="00A30EAA">
      <w:pPr>
        <w:pStyle w:val="ListParagraph"/>
      </w:pPr>
      <w:r>
        <w:rPr>
          <w:b/>
          <w:bCs/>
        </w:rPr>
        <w:t xml:space="preserve">Publish privacy policy: </w:t>
      </w:r>
      <w:r>
        <w:t>Upload to website with clear link from homepage (typically footer). Consider a launch communication to existing clients.</w:t>
      </w:r>
    </w:p>
    <w:p w14:paraId="7E77B027" w14:textId="0425C2D5" w:rsidR="005776EE" w:rsidRDefault="005776EE" w:rsidP="00A30EAA">
      <w:pPr>
        <w:pStyle w:val="ListParagraph"/>
      </w:pPr>
      <w:r>
        <w:rPr>
          <w:b/>
          <w:bCs/>
        </w:rPr>
        <w:t xml:space="preserve">Update templates: </w:t>
      </w:r>
      <w:r>
        <w:t>Integrate collection notices into engagement letter templates, costs agreements, and other client-facing documents.</w:t>
      </w:r>
    </w:p>
    <w:p w14:paraId="50ADD3E9" w14:textId="192A18F5" w:rsidR="005776EE" w:rsidRDefault="005776EE" w:rsidP="00A30EAA">
      <w:pPr>
        <w:pStyle w:val="ListParagraph"/>
      </w:pPr>
      <w:r>
        <w:rPr>
          <w:b/>
          <w:bCs/>
        </w:rPr>
        <w:t xml:space="preserve">Implement security measures: </w:t>
      </w:r>
      <w:r>
        <w:t>Address any</w:t>
      </w:r>
      <w:r w:rsidR="00E63622">
        <w:t xml:space="preserve"> cybersecurity</w:t>
      </w:r>
      <w:r>
        <w:t xml:space="preserve"> security gaps identified; document security practices.</w:t>
      </w:r>
      <w:r w:rsidR="00E63622">
        <w:t xml:space="preserve"> (</w:t>
      </w:r>
      <w:r w:rsidR="008D6083">
        <w:t>Assumes</w:t>
      </w:r>
      <w:r w:rsidR="00E63622">
        <w:t xml:space="preserve"> that </w:t>
      </w:r>
      <w:r w:rsidR="008D6083">
        <w:t xml:space="preserve">a </w:t>
      </w:r>
      <w:r w:rsidR="00E63622">
        <w:t>cybersecurity</w:t>
      </w:r>
      <w:r w:rsidR="008D6083">
        <w:t xml:space="preserve"> program</w:t>
      </w:r>
      <w:r w:rsidR="00E63622">
        <w:t xml:space="preserve"> is already </w:t>
      </w:r>
      <w:r w:rsidR="008D6083">
        <w:t>established</w:t>
      </w:r>
      <w:r w:rsidR="00E63622">
        <w:t>. If not</w:t>
      </w:r>
      <w:r w:rsidR="008D6083">
        <w:t xml:space="preserve">, </w:t>
      </w:r>
      <w:r w:rsidR="00C628B2">
        <w:t xml:space="preserve">start </w:t>
      </w:r>
      <w:r w:rsidR="008D6083">
        <w:t>planning earlier</w:t>
      </w:r>
      <w:r w:rsidR="00C628B2">
        <w:t xml:space="preserve"> as it might take more time than expected</w:t>
      </w:r>
      <w:r w:rsidR="001E6CA9">
        <w:t xml:space="preserve"> – see </w:t>
      </w:r>
      <w:r w:rsidR="001E6CA9">
        <w:fldChar w:fldCharType="begin"/>
      </w:r>
      <w:r w:rsidR="001E6CA9">
        <w:instrText xml:space="preserve"> REF _Ref220684906 \h </w:instrText>
      </w:r>
      <w:r w:rsidR="001E6CA9">
        <w:fldChar w:fldCharType="separate"/>
      </w:r>
      <w:r w:rsidR="004008EB">
        <w:t>Chapter 14: Security Measures</w:t>
      </w:r>
      <w:r w:rsidR="001E6CA9">
        <w:fldChar w:fldCharType="end"/>
      </w:r>
      <w:r w:rsidR="00C628B2">
        <w:t>)</w:t>
      </w:r>
    </w:p>
    <w:p w14:paraId="37A76258" w14:textId="51B42A7B" w:rsidR="005776EE" w:rsidRDefault="005776EE" w:rsidP="00A30EAA">
      <w:pPr>
        <w:pStyle w:val="ListParagraph"/>
      </w:pPr>
      <w:r>
        <w:rPr>
          <w:b/>
          <w:bCs/>
        </w:rPr>
        <w:t xml:space="preserve">Train all staff: </w:t>
      </w:r>
      <w:r>
        <w:t>Conduct training sessions using the framework in Document 07. Record attendance.</w:t>
      </w:r>
    </w:p>
    <w:p w14:paraId="4488F74A" w14:textId="77777777" w:rsidR="004D1E21" w:rsidRDefault="004D1E21">
      <w:pPr>
        <w:spacing w:after="0"/>
        <w:rPr>
          <w:b/>
          <w:bCs/>
          <w:iCs/>
          <w:color w:val="0F2D52"/>
          <w:sz w:val="28"/>
          <w:szCs w:val="28"/>
        </w:rPr>
      </w:pPr>
      <w:bookmarkStart w:id="286" w:name="_Toc220069979"/>
      <w:bookmarkStart w:id="287" w:name="_Toc220655122"/>
      <w:r>
        <w:br w:type="page"/>
      </w:r>
    </w:p>
    <w:p w14:paraId="0D40FC4A" w14:textId="01006C08" w:rsidR="005776EE" w:rsidRDefault="005776EE" w:rsidP="00A30EAA">
      <w:pPr>
        <w:pStyle w:val="NumberedHeading2"/>
      </w:pPr>
      <w:bookmarkStart w:id="288" w:name="_Toc231895209"/>
      <w:r>
        <w:lastRenderedPageBreak/>
        <w:t>Phase 4: Readiness</w:t>
      </w:r>
      <w:bookmarkEnd w:id="288"/>
      <w:r>
        <w:t xml:space="preserve"> </w:t>
      </w:r>
      <w:bookmarkEnd w:id="286"/>
      <w:bookmarkEnd w:id="287"/>
    </w:p>
    <w:p w14:paraId="5FD5A437" w14:textId="77777777" w:rsidR="005776EE" w:rsidRPr="0021322E" w:rsidRDefault="005776EE" w:rsidP="00A30EAA">
      <w:pPr>
        <w:pStyle w:val="Body"/>
        <w:rPr>
          <w:rStyle w:val="Strong"/>
        </w:rPr>
      </w:pPr>
      <w:r w:rsidRPr="008D6083">
        <w:rPr>
          <w:rStyle w:val="Strong"/>
        </w:rPr>
        <w:t>By</w:t>
      </w:r>
      <w:r w:rsidRPr="0021322E">
        <w:rPr>
          <w:rStyle w:val="Strong"/>
        </w:rPr>
        <w:t xml:space="preserve"> the end of Phase 4, you should be able to confirm:</w:t>
      </w:r>
    </w:p>
    <w:p w14:paraId="2209B483" w14:textId="30905835" w:rsidR="005776EE" w:rsidRPr="004D1E21" w:rsidRDefault="005776EE" w:rsidP="00A30EAA">
      <w:pPr>
        <w:pStyle w:val="ChecklistListParagraph"/>
      </w:pPr>
      <w:r w:rsidRPr="004D1E21">
        <w:t>Privacy policy published and accessible</w:t>
      </w:r>
    </w:p>
    <w:p w14:paraId="695ED9F5" w14:textId="43C1E945" w:rsidR="005776EE" w:rsidRPr="004D1E21" w:rsidRDefault="005776EE" w:rsidP="00A30EAA">
      <w:pPr>
        <w:pStyle w:val="ChecklistListParagraph"/>
      </w:pPr>
      <w:r w:rsidRPr="004D1E21">
        <w:t>Collection notice integrated into client engagement processes</w:t>
      </w:r>
    </w:p>
    <w:p w14:paraId="76DC7A12" w14:textId="371E1014" w:rsidR="005776EE" w:rsidRPr="004D1E21" w:rsidRDefault="005776EE" w:rsidP="00A30EAA">
      <w:pPr>
        <w:pStyle w:val="ChecklistListParagraph"/>
      </w:pPr>
      <w:r w:rsidRPr="004D1E21">
        <w:t>Personal information inventory complete and current</w:t>
      </w:r>
    </w:p>
    <w:p w14:paraId="0343FE3A" w14:textId="6D14195E" w:rsidR="005776EE" w:rsidRPr="004D1E21" w:rsidRDefault="005776EE" w:rsidP="00A30EAA">
      <w:pPr>
        <w:pStyle w:val="ChecklistListParagraph"/>
      </w:pPr>
      <w:r w:rsidRPr="004D1E21">
        <w:t>Retention schedule documented and communicated</w:t>
      </w:r>
    </w:p>
    <w:p w14:paraId="627CA9F2" w14:textId="2A89371D" w:rsidR="005776EE" w:rsidRPr="004D1E21" w:rsidRDefault="005776EE" w:rsidP="00A30EAA">
      <w:pPr>
        <w:pStyle w:val="ChecklistListParagraph"/>
      </w:pPr>
      <w:r w:rsidRPr="004D1E21">
        <w:t>Breach response plan in place with trained response team</w:t>
      </w:r>
    </w:p>
    <w:p w14:paraId="63908F91" w14:textId="272DFE80" w:rsidR="005776EE" w:rsidRPr="004D1E21" w:rsidRDefault="005776EE" w:rsidP="00A30EAA">
      <w:pPr>
        <w:pStyle w:val="ChecklistListParagraph"/>
      </w:pPr>
      <w:r w:rsidRPr="004D1E21">
        <w:t>Security measures documented and implemented</w:t>
      </w:r>
    </w:p>
    <w:p w14:paraId="3BE098AD" w14:textId="1FF8CF1B" w:rsidR="005776EE" w:rsidRPr="004D1E21" w:rsidRDefault="005776EE" w:rsidP="00A30EAA">
      <w:pPr>
        <w:pStyle w:val="ChecklistListParagraph"/>
      </w:pPr>
      <w:r w:rsidRPr="004D1E21">
        <w:t>All staff trained on privacy obligations</w:t>
      </w:r>
    </w:p>
    <w:p w14:paraId="7951DF53" w14:textId="0DFF8E0A" w:rsidR="00A47808" w:rsidRPr="004D1E21" w:rsidRDefault="005776EE" w:rsidP="00A30EAA">
      <w:pPr>
        <w:pStyle w:val="ChecklistListParagraph"/>
      </w:pPr>
      <w:r w:rsidRPr="004D1E21">
        <w:t>Procedures for handling access/correction requests documented</w:t>
      </w:r>
    </w:p>
    <w:p w14:paraId="1B7F06D4" w14:textId="77777777" w:rsidR="005776EE" w:rsidRDefault="005776EE" w:rsidP="00973158">
      <w:r>
        <w:br w:type="page"/>
      </w:r>
    </w:p>
    <w:p w14:paraId="3998BA08" w14:textId="77777777" w:rsidR="0021322E" w:rsidRPr="0021322E" w:rsidRDefault="0021322E" w:rsidP="00AB13FF">
      <w:pPr>
        <w:pStyle w:val="Header"/>
      </w:pPr>
      <w:bookmarkStart w:id="289" w:name="_Toc231895210"/>
      <w:bookmarkStart w:id="290" w:name="_Toc220069980"/>
      <w:bookmarkStart w:id="291" w:name="_Toc220655123"/>
      <w:bookmarkStart w:id="292" w:name="_Ref220684906"/>
      <w:r w:rsidRPr="0021322E">
        <w:lastRenderedPageBreak/>
        <w:t>PART E</w:t>
      </w:r>
      <w:bookmarkEnd w:id="289"/>
    </w:p>
    <w:p w14:paraId="33259DD9" w14:textId="77777777" w:rsidR="0021322E" w:rsidRDefault="0021322E" w:rsidP="00A30EAA">
      <w:pPr>
        <w:pStyle w:val="Header2"/>
      </w:pPr>
      <w:bookmarkStart w:id="293" w:name="_Toc231895211"/>
      <w:r w:rsidRPr="001E6CA9">
        <w:t>OPERATIONALISING PRIVACY</w:t>
      </w:r>
      <w:bookmarkEnd w:id="293"/>
      <w:r>
        <w:t xml:space="preserve"> </w:t>
      </w:r>
    </w:p>
    <w:p w14:paraId="7335C582" w14:textId="58102F87" w:rsidR="005776EE" w:rsidRDefault="005776EE" w:rsidP="00B8098D">
      <w:pPr>
        <w:pStyle w:val="NumberedHeading1"/>
      </w:pPr>
      <w:bookmarkStart w:id="294" w:name="_Toc231895212"/>
      <w:r>
        <w:t>Security Measures</w:t>
      </w:r>
      <w:bookmarkEnd w:id="290"/>
      <w:bookmarkEnd w:id="291"/>
      <w:bookmarkEnd w:id="292"/>
      <w:bookmarkEnd w:id="294"/>
    </w:p>
    <w:p w14:paraId="70E70BE7" w14:textId="0D29E6D8" w:rsidR="005776EE" w:rsidRDefault="005776EE" w:rsidP="00A30EAA">
      <w:pPr>
        <w:pStyle w:val="Body"/>
      </w:pPr>
      <w:r>
        <w:t>APP 11</w:t>
      </w:r>
      <w:r w:rsidR="000F00B7">
        <w:t xml:space="preserve"> (and our general professional duty of competence)</w:t>
      </w:r>
      <w:r>
        <w:t xml:space="preserve"> requires entities to take reasonable steps to protect personal information from misuse, interference and loss, and from unauthorised access, modification or disclosure.</w:t>
      </w:r>
      <w:r>
        <w:rPr>
          <w:rStyle w:val="FootnoteReference"/>
        </w:rPr>
        <w:footnoteReference w:id="142"/>
      </w:r>
      <w:r>
        <w:t xml:space="preserve"> This chapter outlines key security measures that contribute to APP 11 compliance.</w:t>
      </w:r>
    </w:p>
    <w:p w14:paraId="6AC08A89" w14:textId="359FC22D" w:rsidR="005776EE" w:rsidRDefault="005776EE" w:rsidP="00A30EAA">
      <w:pPr>
        <w:pStyle w:val="NumberedHeading2"/>
      </w:pPr>
      <w:bookmarkStart w:id="295" w:name="_Toc220069981"/>
      <w:bookmarkStart w:id="296" w:name="_Toc220655124"/>
      <w:bookmarkStart w:id="297" w:name="_Toc231895213"/>
      <w:r>
        <w:t>The 'Reasonable Steps' Standard for Security</w:t>
      </w:r>
      <w:bookmarkEnd w:id="295"/>
      <w:bookmarkEnd w:id="296"/>
      <w:bookmarkEnd w:id="297"/>
    </w:p>
    <w:p w14:paraId="778FA014" w14:textId="72517ED6" w:rsidR="005776EE" w:rsidRDefault="005776EE" w:rsidP="00A30EAA">
      <w:pPr>
        <w:pStyle w:val="Body"/>
      </w:pPr>
      <w:r>
        <w:t>What constitutes 'reasonable steps' for security depends on the circumstances, including the nature and amount of information held, the possible consequences of a breach, and the practicability of implementing security measures</w:t>
      </w:r>
      <w:r w:rsidR="001045E4">
        <w:t xml:space="preserve"> having regard to firm size and resources</w:t>
      </w:r>
      <w:r>
        <w:t>.</w:t>
      </w:r>
      <w:r>
        <w:rPr>
          <w:rStyle w:val="FootnoteReference"/>
        </w:rPr>
        <w:footnoteReference w:id="143"/>
      </w:r>
    </w:p>
    <w:p w14:paraId="5BFD1833" w14:textId="55A0DB56" w:rsidR="005776EE" w:rsidRDefault="005776EE" w:rsidP="00A30EAA">
      <w:pPr>
        <w:pStyle w:val="Body"/>
      </w:pPr>
      <w:r>
        <w:t>For law firms, the sensitivity of legal information</w:t>
      </w:r>
      <w:r w:rsidR="000F00B7">
        <w:t xml:space="preserve"> and value of </w:t>
      </w:r>
      <w:r>
        <w:t>identity documents, financial details, and confidential client communications</w:t>
      </w:r>
      <w:r w:rsidR="000F00B7">
        <w:t xml:space="preserve"> to criminals</w:t>
      </w:r>
      <w:r>
        <w:t xml:space="preserve"> warrants robust security.</w:t>
      </w:r>
    </w:p>
    <w:p w14:paraId="17963CF6" w14:textId="1B462960" w:rsidR="005776EE" w:rsidRDefault="005776EE" w:rsidP="00A30EAA">
      <w:pPr>
        <w:pStyle w:val="NumberedHeading2"/>
      </w:pPr>
      <w:bookmarkStart w:id="298" w:name="_Toc220069982"/>
      <w:bookmarkStart w:id="299" w:name="_Toc220655125"/>
      <w:bookmarkStart w:id="300" w:name="_Toc231895214"/>
      <w:r>
        <w:t>Governance and Accountability</w:t>
      </w:r>
      <w:bookmarkEnd w:id="298"/>
      <w:bookmarkEnd w:id="299"/>
      <w:bookmarkEnd w:id="300"/>
    </w:p>
    <w:p w14:paraId="79AD7A70" w14:textId="77777777" w:rsidR="005776EE" w:rsidRDefault="005776EE" w:rsidP="00A30EAA">
      <w:pPr>
        <w:pStyle w:val="Body"/>
      </w:pPr>
      <w:r>
        <w:t>Effective security begins with clear governance.</w:t>
      </w:r>
      <w:r>
        <w:rPr>
          <w:rStyle w:val="FootnoteReference"/>
        </w:rPr>
        <w:footnoteReference w:id="144"/>
      </w:r>
      <w:r>
        <w:t xml:space="preserve"> Key elements include:</w:t>
      </w:r>
    </w:p>
    <w:p w14:paraId="0F3F090F" w14:textId="03D0D845" w:rsidR="005776EE" w:rsidRDefault="005776EE" w:rsidP="00A30EAA">
      <w:pPr>
        <w:pStyle w:val="ListParagraph"/>
      </w:pPr>
      <w:r>
        <w:rPr>
          <w:b/>
          <w:bCs/>
        </w:rPr>
        <w:t xml:space="preserve">Designated responsibility: </w:t>
      </w:r>
      <w:r w:rsidR="00990388">
        <w:t>A specific person</w:t>
      </w:r>
      <w:r>
        <w:t xml:space="preserve"> should have responsibility for overseeing security measures.</w:t>
      </w:r>
      <w:r w:rsidR="00990388">
        <w:t xml:space="preserve"> </w:t>
      </w:r>
      <w:r w:rsidR="003B35DD">
        <w:t>This is a management function, not an IT function</w:t>
      </w:r>
      <w:r w:rsidR="00780C58">
        <w:t xml:space="preserve"> although someone with both skill sets is ideal.</w:t>
      </w:r>
    </w:p>
    <w:p w14:paraId="004B4D5C" w14:textId="3DC3C940" w:rsidR="005776EE" w:rsidRDefault="005776EE" w:rsidP="00A30EAA">
      <w:pPr>
        <w:pStyle w:val="ListParagraph"/>
      </w:pPr>
      <w:r>
        <w:rPr>
          <w:b/>
          <w:bCs/>
        </w:rPr>
        <w:t xml:space="preserve">Documented policies: </w:t>
      </w:r>
      <w:r>
        <w:t>Security practices should be documented so staff understand their obligations.</w:t>
      </w:r>
      <w:r w:rsidR="000F00B7">
        <w:t xml:space="preserve"> Even in small firms, simple infographics and checklists are important.</w:t>
      </w:r>
    </w:p>
    <w:p w14:paraId="63E36BC8" w14:textId="4376EF14" w:rsidR="005776EE" w:rsidRDefault="005776EE" w:rsidP="00A30EAA">
      <w:pPr>
        <w:pStyle w:val="ListParagraph"/>
      </w:pPr>
      <w:r>
        <w:rPr>
          <w:b/>
          <w:bCs/>
        </w:rPr>
        <w:t xml:space="preserve">Regular review: </w:t>
      </w:r>
      <w:r>
        <w:t>Security measures should be reviewed periodically (at least annually) and when significant changes occur.</w:t>
      </w:r>
    </w:p>
    <w:p w14:paraId="461E58EB" w14:textId="4E148C9A" w:rsidR="000F00B7" w:rsidRDefault="000F00B7" w:rsidP="00A30EAA">
      <w:pPr>
        <w:pStyle w:val="ListParagraph"/>
      </w:pPr>
      <w:r>
        <w:rPr>
          <w:b/>
          <w:bCs/>
        </w:rPr>
        <w:t>Training:</w:t>
      </w:r>
      <w:r>
        <w:t xml:space="preserve"> there is no point having policies and technical measures to protect data if nobody knows what they are or how to use them. Staff must be trained on induction and regularly reminded how to keep the firm safe.</w:t>
      </w:r>
    </w:p>
    <w:p w14:paraId="26AABBB0" w14:textId="0BABC44C" w:rsidR="005776EE" w:rsidRDefault="005776EE" w:rsidP="00A30EAA">
      <w:pPr>
        <w:pStyle w:val="ListParagraph"/>
      </w:pPr>
      <w:r>
        <w:rPr>
          <w:b/>
          <w:bCs/>
        </w:rPr>
        <w:t xml:space="preserve">Incident reporting culture: </w:t>
      </w:r>
      <w:r>
        <w:t>Staff should be encouraged to report security incidents and near-misses without fear of blame.</w:t>
      </w:r>
    </w:p>
    <w:p w14:paraId="39CF6DD1" w14:textId="77777777" w:rsidR="004D1E21" w:rsidRDefault="004D1E21">
      <w:pPr>
        <w:spacing w:after="0"/>
        <w:rPr>
          <w:b/>
          <w:bCs/>
          <w:iCs/>
          <w:color w:val="0F2D52"/>
          <w:sz w:val="28"/>
          <w:szCs w:val="28"/>
        </w:rPr>
      </w:pPr>
      <w:bookmarkStart w:id="301" w:name="_Toc220069983"/>
      <w:bookmarkStart w:id="302" w:name="_Toc220655126"/>
      <w:r>
        <w:br w:type="page"/>
      </w:r>
    </w:p>
    <w:p w14:paraId="7EEF239A" w14:textId="562A2187" w:rsidR="005776EE" w:rsidRDefault="005776EE" w:rsidP="00A30EAA">
      <w:pPr>
        <w:pStyle w:val="NumberedHeading2"/>
      </w:pPr>
      <w:bookmarkStart w:id="303" w:name="_Toc231895215"/>
      <w:r>
        <w:lastRenderedPageBreak/>
        <w:t>Technical Security Measures</w:t>
      </w:r>
      <w:bookmarkEnd w:id="301"/>
      <w:bookmarkEnd w:id="302"/>
      <w:bookmarkEnd w:id="303"/>
    </w:p>
    <w:p w14:paraId="134EE23D" w14:textId="77777777" w:rsidR="00077804" w:rsidRDefault="005776EE" w:rsidP="00A30EAA">
      <w:pPr>
        <w:pStyle w:val="Body"/>
      </w:pPr>
      <w:r>
        <w:t xml:space="preserve">Technical measures protect against cyber threats and unauthorised access. </w:t>
      </w:r>
    </w:p>
    <w:p w14:paraId="1E72D4EC" w14:textId="77777777" w:rsidR="00A409AE" w:rsidRDefault="005776EE" w:rsidP="00A30EAA">
      <w:pPr>
        <w:pStyle w:val="Body"/>
      </w:pPr>
      <w:r>
        <w:t>The Australian Cyber Security Centre's Essential Eight provides a useful baseline framework</w:t>
      </w:r>
      <w:r w:rsidR="00A2597E">
        <w:t xml:space="preserve"> for mid-tier practices, but smaller firms may struggle with some of the technical </w:t>
      </w:r>
      <w:r w:rsidR="00EB1034">
        <w:t>steps and the resources required to implement them</w:t>
      </w:r>
      <w:r>
        <w:t>.</w:t>
      </w:r>
      <w:r>
        <w:rPr>
          <w:rStyle w:val="FootnoteReference"/>
        </w:rPr>
        <w:footnoteReference w:id="145"/>
      </w:r>
      <w:r>
        <w:t xml:space="preserve"> </w:t>
      </w:r>
    </w:p>
    <w:p w14:paraId="3CD233F0" w14:textId="77777777" w:rsidR="000F00B7" w:rsidRDefault="000F00B7" w:rsidP="00A30EAA">
      <w:pPr>
        <w:pStyle w:val="Body"/>
      </w:pPr>
    </w:p>
    <w:p w14:paraId="2505114C" w14:textId="0562DD58" w:rsidR="00A239A6" w:rsidRDefault="00A675B2" w:rsidP="00A30EAA">
      <w:pPr>
        <w:pStyle w:val="Body"/>
      </w:pPr>
      <w:r>
        <w:t>Key QLS recommendations may be found here</w:t>
      </w:r>
      <w:r w:rsidR="00D953C4" w:rsidRPr="00D953C4">
        <w:t xml:space="preserve"> </w:t>
      </w:r>
      <w:hyperlink r:id="rId16" w:history="1">
        <w:r w:rsidR="00D953C4" w:rsidRPr="00D953C4">
          <w:rPr>
            <w:rStyle w:val="Hyperlink"/>
          </w:rPr>
          <w:t>Cybersecurity - Queensland Law Society</w:t>
        </w:r>
      </w:hyperlink>
      <w:r w:rsidR="00D953C4">
        <w:t xml:space="preserve">, </w:t>
      </w:r>
      <w:r w:rsidR="00A409AE">
        <w:t xml:space="preserve">with </w:t>
      </w:r>
      <w:r w:rsidR="00D953C4">
        <w:t>more information from the ACSC website</w:t>
      </w:r>
      <w:r w:rsidR="005776EE">
        <w:t>:</w:t>
      </w:r>
      <w:r w:rsidR="005776EE">
        <w:rPr>
          <w:rStyle w:val="FootnoteReference"/>
        </w:rPr>
        <w:footnoteReference w:id="146"/>
      </w:r>
    </w:p>
    <w:tbl>
      <w:tblPr>
        <w:tblW w:w="5000" w:type="pct"/>
        <w:tblCellMar>
          <w:left w:w="10" w:type="dxa"/>
          <w:right w:w="10" w:type="dxa"/>
        </w:tblCellMar>
        <w:tblLook w:val="0000" w:firstRow="0" w:lastRow="0" w:firstColumn="0" w:lastColumn="0" w:noHBand="0" w:noVBand="0"/>
      </w:tblPr>
      <w:tblGrid>
        <w:gridCol w:w="2500"/>
        <w:gridCol w:w="6526"/>
      </w:tblGrid>
      <w:tr w:rsidR="005776EE" w14:paraId="44490798" w14:textId="77777777" w:rsidTr="00360D72">
        <w:tc>
          <w:tcPr>
            <w:tcW w:w="2500" w:type="dxa"/>
            <w:shd w:val="clear" w:color="auto" w:fill="0F2D52"/>
            <w:tcMar>
              <w:top w:w="100" w:type="dxa"/>
              <w:left w:w="120" w:type="dxa"/>
              <w:bottom w:w="100" w:type="dxa"/>
              <w:right w:w="120" w:type="dxa"/>
            </w:tcMar>
          </w:tcPr>
          <w:p w14:paraId="2734F1BE" w14:textId="77777777" w:rsidR="005776EE" w:rsidRPr="00564A3A" w:rsidRDefault="005776EE" w:rsidP="0021322E">
            <w:pPr>
              <w:pStyle w:val="TableHeading"/>
            </w:pPr>
            <w:r w:rsidRPr="00564A3A">
              <w:t>Measure</w:t>
            </w:r>
          </w:p>
        </w:tc>
        <w:tc>
          <w:tcPr>
            <w:tcW w:w="6526" w:type="dxa"/>
            <w:shd w:val="clear" w:color="auto" w:fill="0F2D52"/>
            <w:tcMar>
              <w:top w:w="100" w:type="dxa"/>
              <w:left w:w="120" w:type="dxa"/>
              <w:bottom w:w="100" w:type="dxa"/>
              <w:right w:w="120" w:type="dxa"/>
            </w:tcMar>
          </w:tcPr>
          <w:p w14:paraId="352AC15E" w14:textId="77777777" w:rsidR="005776EE" w:rsidRPr="00564A3A" w:rsidRDefault="005776EE" w:rsidP="0021322E">
            <w:pPr>
              <w:pStyle w:val="TableHeading"/>
            </w:pPr>
            <w:r w:rsidRPr="00564A3A">
              <w:t>Implementation Guidance</w:t>
            </w:r>
          </w:p>
        </w:tc>
      </w:tr>
      <w:tr w:rsidR="005776EE" w14:paraId="60D095F1" w14:textId="77777777" w:rsidTr="00360D72">
        <w:tc>
          <w:tcPr>
            <w:tcW w:w="2500" w:type="dxa"/>
            <w:tcBorders>
              <w:bottom w:val="single" w:sz="4" w:space="0" w:color="auto"/>
            </w:tcBorders>
            <w:tcMar>
              <w:top w:w="100" w:type="dxa"/>
              <w:left w:w="120" w:type="dxa"/>
              <w:bottom w:w="100" w:type="dxa"/>
              <w:right w:w="120" w:type="dxa"/>
            </w:tcMar>
          </w:tcPr>
          <w:p w14:paraId="40B520E5" w14:textId="77777777" w:rsidR="005776EE" w:rsidRDefault="005776EE" w:rsidP="0021322E">
            <w:pPr>
              <w:pStyle w:val="Tablecontent"/>
            </w:pPr>
            <w:r>
              <w:t>Access controls</w:t>
            </w:r>
          </w:p>
        </w:tc>
        <w:tc>
          <w:tcPr>
            <w:tcW w:w="6526" w:type="dxa"/>
            <w:tcBorders>
              <w:bottom w:val="single" w:sz="4" w:space="0" w:color="auto"/>
            </w:tcBorders>
            <w:tcMar>
              <w:top w:w="100" w:type="dxa"/>
              <w:left w:w="120" w:type="dxa"/>
              <w:bottom w:w="100" w:type="dxa"/>
              <w:right w:w="120" w:type="dxa"/>
            </w:tcMar>
          </w:tcPr>
          <w:p w14:paraId="7FBBC063" w14:textId="77777777" w:rsidR="005776EE" w:rsidRDefault="005776EE" w:rsidP="0021322E">
            <w:pPr>
              <w:pStyle w:val="Tablecontent"/>
            </w:pPr>
            <w:r>
              <w:t>Unique user accounts for each staff member; access based on role (principle of least privilege); disable accounts promptly when staff leave</w:t>
            </w:r>
          </w:p>
        </w:tc>
      </w:tr>
      <w:tr w:rsidR="005776EE" w14:paraId="6F1DD1D4" w14:textId="77777777" w:rsidTr="00360D72">
        <w:tc>
          <w:tcPr>
            <w:tcW w:w="2500" w:type="dxa"/>
            <w:tcBorders>
              <w:top w:val="single" w:sz="4" w:space="0" w:color="auto"/>
              <w:bottom w:val="single" w:sz="4" w:space="0" w:color="auto"/>
            </w:tcBorders>
            <w:tcMar>
              <w:top w:w="100" w:type="dxa"/>
              <w:left w:w="120" w:type="dxa"/>
              <w:bottom w:w="100" w:type="dxa"/>
              <w:right w:w="120" w:type="dxa"/>
            </w:tcMar>
          </w:tcPr>
          <w:p w14:paraId="3D1521AE" w14:textId="77777777" w:rsidR="005776EE" w:rsidRDefault="005776EE" w:rsidP="0021322E">
            <w:pPr>
              <w:pStyle w:val="Tablecontent"/>
            </w:pPr>
            <w:r>
              <w:t>Strong authentication</w:t>
            </w:r>
          </w:p>
        </w:tc>
        <w:tc>
          <w:tcPr>
            <w:tcW w:w="6526" w:type="dxa"/>
            <w:tcBorders>
              <w:top w:val="single" w:sz="4" w:space="0" w:color="auto"/>
              <w:bottom w:val="single" w:sz="4" w:space="0" w:color="auto"/>
            </w:tcBorders>
            <w:tcMar>
              <w:top w:w="100" w:type="dxa"/>
              <w:left w:w="120" w:type="dxa"/>
              <w:bottom w:w="100" w:type="dxa"/>
              <w:right w:w="120" w:type="dxa"/>
            </w:tcMar>
          </w:tcPr>
          <w:p w14:paraId="6EB9F5F6" w14:textId="24963AAD" w:rsidR="005776EE" w:rsidRDefault="005776EE" w:rsidP="0021322E">
            <w:pPr>
              <w:pStyle w:val="Tablecontent"/>
            </w:pPr>
            <w:r>
              <w:t>Complex passwords (12+ characters); multi-factor authentication (MFA) for remote access and sensitive systems; password manager recommended</w:t>
            </w:r>
            <w:r w:rsidR="003B574C">
              <w:t xml:space="preserve"> See QLS resources</w:t>
            </w:r>
            <w:r w:rsidR="00417F84">
              <w:rPr>
                <w:rStyle w:val="FootnoteReference"/>
              </w:rPr>
              <w:footnoteReference w:id="147"/>
            </w:r>
            <w:r w:rsidR="003B574C">
              <w:t xml:space="preserve"> </w:t>
            </w:r>
            <w:r w:rsidR="00A239A6">
              <w:t>on password selection. Note that</w:t>
            </w:r>
            <w:r w:rsidR="001241EE">
              <w:t xml:space="preserve"> other authentication technologies (</w:t>
            </w:r>
            <w:proofErr w:type="spellStart"/>
            <w:r w:rsidR="001241EE">
              <w:t>eg</w:t>
            </w:r>
            <w:proofErr w:type="spellEnd"/>
            <w:r w:rsidR="001241EE">
              <w:t>, pass-keys loaded onto secure devices,</w:t>
            </w:r>
            <w:r w:rsidR="002D08F9">
              <w:t xml:space="preserve"> Single Sign On systems,</w:t>
            </w:r>
            <w:r w:rsidR="001241EE">
              <w:t xml:space="preserve"> biometrics) may be more secure and convenient that passwords. However, most </w:t>
            </w:r>
            <w:r w:rsidR="002D08F9">
              <w:t>firm networks</w:t>
            </w:r>
            <w:r w:rsidR="001241EE">
              <w:t xml:space="preserve"> will </w:t>
            </w:r>
            <w:r w:rsidR="005E35B5">
              <w:t>still retain passwords as secondary access options or for devices such as printers and routers</w:t>
            </w:r>
            <w:r w:rsidR="002D08F9">
              <w:t>, so they must be secure and used appropriately.</w:t>
            </w:r>
          </w:p>
        </w:tc>
      </w:tr>
      <w:tr w:rsidR="005776EE" w14:paraId="5F96ABBE" w14:textId="77777777" w:rsidTr="00360D72">
        <w:tc>
          <w:tcPr>
            <w:tcW w:w="2500" w:type="dxa"/>
            <w:tcBorders>
              <w:top w:val="single" w:sz="4" w:space="0" w:color="auto"/>
              <w:bottom w:val="single" w:sz="4" w:space="0" w:color="auto"/>
            </w:tcBorders>
            <w:tcMar>
              <w:top w:w="100" w:type="dxa"/>
              <w:left w:w="120" w:type="dxa"/>
              <w:bottom w:w="100" w:type="dxa"/>
              <w:right w:w="120" w:type="dxa"/>
            </w:tcMar>
          </w:tcPr>
          <w:p w14:paraId="6607AEC5" w14:textId="77777777" w:rsidR="005776EE" w:rsidRDefault="005776EE" w:rsidP="0021322E">
            <w:pPr>
              <w:pStyle w:val="Tablecontent"/>
            </w:pPr>
            <w:r>
              <w:t>Encryption</w:t>
            </w:r>
          </w:p>
        </w:tc>
        <w:tc>
          <w:tcPr>
            <w:tcW w:w="6526" w:type="dxa"/>
            <w:tcBorders>
              <w:top w:val="single" w:sz="4" w:space="0" w:color="auto"/>
              <w:bottom w:val="single" w:sz="4" w:space="0" w:color="auto"/>
            </w:tcBorders>
            <w:tcMar>
              <w:top w:w="100" w:type="dxa"/>
              <w:left w:w="120" w:type="dxa"/>
              <w:bottom w:w="100" w:type="dxa"/>
              <w:right w:w="120" w:type="dxa"/>
            </w:tcMar>
          </w:tcPr>
          <w:p w14:paraId="4FC8A60A" w14:textId="353AF099" w:rsidR="005776EE" w:rsidRDefault="005776EE" w:rsidP="0021322E">
            <w:pPr>
              <w:pStyle w:val="Tablecontent"/>
            </w:pPr>
            <w:r>
              <w:t xml:space="preserve">Encrypt sensitive data in transit (TLS/HTTPS); consider </w:t>
            </w:r>
            <w:r w:rsidR="002D08F9">
              <w:t xml:space="preserve">additional </w:t>
            </w:r>
            <w:r>
              <w:t>encryption at rest for highly sensitive information; encrypted email for sensitive attachments</w:t>
            </w:r>
          </w:p>
        </w:tc>
      </w:tr>
      <w:tr w:rsidR="005776EE" w14:paraId="57ADE485" w14:textId="77777777" w:rsidTr="00360D72">
        <w:tc>
          <w:tcPr>
            <w:tcW w:w="2500" w:type="dxa"/>
            <w:tcBorders>
              <w:top w:val="single" w:sz="4" w:space="0" w:color="auto"/>
              <w:bottom w:val="single" w:sz="4" w:space="0" w:color="auto"/>
            </w:tcBorders>
            <w:tcMar>
              <w:top w:w="100" w:type="dxa"/>
              <w:left w:w="120" w:type="dxa"/>
              <w:bottom w:w="100" w:type="dxa"/>
              <w:right w:w="120" w:type="dxa"/>
            </w:tcMar>
          </w:tcPr>
          <w:p w14:paraId="32477742" w14:textId="77777777" w:rsidR="005776EE" w:rsidRDefault="005776EE" w:rsidP="0021322E">
            <w:pPr>
              <w:pStyle w:val="Tablecontent"/>
            </w:pPr>
            <w:r>
              <w:t>Network security</w:t>
            </w:r>
          </w:p>
        </w:tc>
        <w:tc>
          <w:tcPr>
            <w:tcW w:w="6526" w:type="dxa"/>
            <w:tcBorders>
              <w:top w:val="single" w:sz="4" w:space="0" w:color="auto"/>
              <w:bottom w:val="single" w:sz="4" w:space="0" w:color="auto"/>
            </w:tcBorders>
            <w:tcMar>
              <w:top w:w="100" w:type="dxa"/>
              <w:left w:w="120" w:type="dxa"/>
              <w:bottom w:w="100" w:type="dxa"/>
              <w:right w:w="120" w:type="dxa"/>
            </w:tcMar>
          </w:tcPr>
          <w:p w14:paraId="7AB6F3A4" w14:textId="77777777" w:rsidR="005776EE" w:rsidRDefault="005776EE" w:rsidP="0021322E">
            <w:pPr>
              <w:pStyle w:val="Tablecontent"/>
            </w:pPr>
            <w:r>
              <w:t>Firewall protection; secure Wi-Fi (WPA3 or WPA2 with strong password); separate guest network; VPN for remote access</w:t>
            </w:r>
          </w:p>
        </w:tc>
      </w:tr>
      <w:tr w:rsidR="005776EE" w14:paraId="2D5DE5C2" w14:textId="77777777" w:rsidTr="00360D72">
        <w:tc>
          <w:tcPr>
            <w:tcW w:w="2500" w:type="dxa"/>
            <w:tcBorders>
              <w:top w:val="single" w:sz="4" w:space="0" w:color="auto"/>
              <w:bottom w:val="single" w:sz="4" w:space="0" w:color="auto"/>
            </w:tcBorders>
            <w:tcMar>
              <w:top w:w="100" w:type="dxa"/>
              <w:left w:w="120" w:type="dxa"/>
              <w:bottom w:w="100" w:type="dxa"/>
              <w:right w:w="120" w:type="dxa"/>
            </w:tcMar>
          </w:tcPr>
          <w:p w14:paraId="4524AB97" w14:textId="77777777" w:rsidR="005776EE" w:rsidRDefault="005776EE" w:rsidP="0021322E">
            <w:pPr>
              <w:pStyle w:val="Tablecontent"/>
            </w:pPr>
            <w:r>
              <w:t>Software updates</w:t>
            </w:r>
          </w:p>
        </w:tc>
        <w:tc>
          <w:tcPr>
            <w:tcW w:w="6526" w:type="dxa"/>
            <w:tcBorders>
              <w:top w:val="single" w:sz="4" w:space="0" w:color="auto"/>
              <w:bottom w:val="single" w:sz="4" w:space="0" w:color="auto"/>
            </w:tcBorders>
            <w:tcMar>
              <w:top w:w="100" w:type="dxa"/>
              <w:left w:w="120" w:type="dxa"/>
              <w:bottom w:w="100" w:type="dxa"/>
              <w:right w:w="120" w:type="dxa"/>
            </w:tcMar>
          </w:tcPr>
          <w:p w14:paraId="2AD7A190" w14:textId="6628C75F" w:rsidR="005776EE" w:rsidRDefault="005776EE" w:rsidP="0021322E">
            <w:pPr>
              <w:pStyle w:val="Tablecontent"/>
            </w:pPr>
            <w:r>
              <w:t>Enable automatic updates for operating systems and applications; patch critical vulnerabilities promptly; maintain supported software version</w:t>
            </w:r>
            <w:r w:rsidR="00DC5BD1">
              <w:t xml:space="preserve">. See QLS resources here: </w:t>
            </w:r>
            <w:hyperlink r:id="rId17" w:history="1">
              <w:r w:rsidR="00DC5BD1" w:rsidRPr="00DC5BD1">
                <w:rPr>
                  <w:rStyle w:val="Hyperlink"/>
                </w:rPr>
                <w:t>Basic cyber steps can block most attacks – Proctor</w:t>
              </w:r>
            </w:hyperlink>
          </w:p>
        </w:tc>
      </w:tr>
      <w:tr w:rsidR="005776EE" w14:paraId="5067BCC3" w14:textId="77777777" w:rsidTr="00360D72">
        <w:tc>
          <w:tcPr>
            <w:tcW w:w="2500" w:type="dxa"/>
            <w:tcBorders>
              <w:top w:val="single" w:sz="4" w:space="0" w:color="auto"/>
              <w:bottom w:val="single" w:sz="4" w:space="0" w:color="auto"/>
            </w:tcBorders>
            <w:tcMar>
              <w:top w:w="100" w:type="dxa"/>
              <w:left w:w="120" w:type="dxa"/>
              <w:bottom w:w="100" w:type="dxa"/>
              <w:right w:w="120" w:type="dxa"/>
            </w:tcMar>
          </w:tcPr>
          <w:p w14:paraId="06441228" w14:textId="77777777" w:rsidR="005776EE" w:rsidRDefault="005776EE" w:rsidP="0021322E">
            <w:pPr>
              <w:pStyle w:val="Tablecontent"/>
            </w:pPr>
            <w:r>
              <w:t>Malware protection</w:t>
            </w:r>
          </w:p>
        </w:tc>
        <w:tc>
          <w:tcPr>
            <w:tcW w:w="6526" w:type="dxa"/>
            <w:tcBorders>
              <w:top w:val="single" w:sz="4" w:space="0" w:color="auto"/>
              <w:bottom w:val="single" w:sz="4" w:space="0" w:color="auto"/>
            </w:tcBorders>
            <w:tcMar>
              <w:top w:w="100" w:type="dxa"/>
              <w:left w:w="120" w:type="dxa"/>
              <w:bottom w:w="100" w:type="dxa"/>
              <w:right w:w="120" w:type="dxa"/>
            </w:tcMar>
          </w:tcPr>
          <w:p w14:paraId="7C79315D" w14:textId="77777777" w:rsidR="005776EE" w:rsidRDefault="005776EE" w:rsidP="0021322E">
            <w:pPr>
              <w:pStyle w:val="Tablecontent"/>
            </w:pPr>
            <w:r>
              <w:t>Antivirus/antimalware software on all devices; regular scans; email filtering for malicious attachments</w:t>
            </w:r>
          </w:p>
        </w:tc>
      </w:tr>
      <w:tr w:rsidR="005776EE" w14:paraId="0A7BA3F0" w14:textId="77777777" w:rsidTr="00360D72">
        <w:tc>
          <w:tcPr>
            <w:tcW w:w="2500" w:type="dxa"/>
            <w:tcBorders>
              <w:top w:val="single" w:sz="4" w:space="0" w:color="auto"/>
              <w:bottom w:val="single" w:sz="4" w:space="0" w:color="auto"/>
            </w:tcBorders>
            <w:tcMar>
              <w:top w:w="100" w:type="dxa"/>
              <w:left w:w="120" w:type="dxa"/>
              <w:bottom w:w="100" w:type="dxa"/>
              <w:right w:w="120" w:type="dxa"/>
            </w:tcMar>
          </w:tcPr>
          <w:p w14:paraId="36C167F9" w14:textId="77777777" w:rsidR="005776EE" w:rsidRDefault="005776EE" w:rsidP="0021322E">
            <w:pPr>
              <w:pStyle w:val="Tablecontent"/>
            </w:pPr>
            <w:r>
              <w:t>Backup and recovery</w:t>
            </w:r>
          </w:p>
        </w:tc>
        <w:tc>
          <w:tcPr>
            <w:tcW w:w="6526" w:type="dxa"/>
            <w:tcBorders>
              <w:top w:val="single" w:sz="4" w:space="0" w:color="auto"/>
              <w:bottom w:val="single" w:sz="4" w:space="0" w:color="auto"/>
            </w:tcBorders>
            <w:tcMar>
              <w:top w:w="100" w:type="dxa"/>
              <w:left w:w="120" w:type="dxa"/>
              <w:bottom w:w="100" w:type="dxa"/>
              <w:right w:w="120" w:type="dxa"/>
            </w:tcMar>
          </w:tcPr>
          <w:p w14:paraId="34BE7AD9" w14:textId="77777777" w:rsidR="005776EE" w:rsidRDefault="005776EE" w:rsidP="0021322E">
            <w:pPr>
              <w:pStyle w:val="Tablecontent"/>
            </w:pPr>
            <w:r>
              <w:t>Regular backups (at least daily for critical data); offsite or cloud backup; test restoration periodically; maintain offline backup copy</w:t>
            </w:r>
          </w:p>
        </w:tc>
      </w:tr>
    </w:tbl>
    <w:p w14:paraId="49CA81F9" w14:textId="77777777" w:rsidR="004D1E21" w:rsidRDefault="004D1E21">
      <w:pPr>
        <w:spacing w:after="0"/>
        <w:rPr>
          <w:b/>
          <w:bCs/>
          <w:iCs/>
          <w:color w:val="0F2D52"/>
          <w:sz w:val="28"/>
          <w:szCs w:val="28"/>
        </w:rPr>
      </w:pPr>
      <w:bookmarkStart w:id="304" w:name="_Toc220069984"/>
      <w:bookmarkStart w:id="305" w:name="_Toc220655127"/>
      <w:r>
        <w:br w:type="page"/>
      </w:r>
    </w:p>
    <w:p w14:paraId="53F2EE82" w14:textId="1EE4C521" w:rsidR="005776EE" w:rsidRDefault="005776EE" w:rsidP="00A30EAA">
      <w:pPr>
        <w:pStyle w:val="NumberedHeading2"/>
      </w:pPr>
      <w:bookmarkStart w:id="306" w:name="_Toc231895216"/>
      <w:r>
        <w:lastRenderedPageBreak/>
        <w:t>Physical Security Measures</w:t>
      </w:r>
      <w:bookmarkEnd w:id="304"/>
      <w:bookmarkEnd w:id="305"/>
      <w:bookmarkEnd w:id="306"/>
    </w:p>
    <w:p w14:paraId="29B4CC7E" w14:textId="77777777" w:rsidR="005776EE" w:rsidRDefault="005776EE" w:rsidP="00A30EAA">
      <w:pPr>
        <w:pStyle w:val="Body"/>
      </w:pPr>
      <w:r>
        <w:t>Physical security protects against unauthorised physical access to information and systems.</w:t>
      </w:r>
      <w:r>
        <w:rPr>
          <w:rStyle w:val="FootnoteReference"/>
        </w:rPr>
        <w:footnoteReference w:id="148"/>
      </w:r>
      <w:r>
        <w:t xml:space="preserve"> Key measures include:</w:t>
      </w:r>
    </w:p>
    <w:p w14:paraId="1815BA65" w14:textId="3629833A" w:rsidR="005776EE" w:rsidRDefault="005776EE" w:rsidP="00A30EAA">
      <w:pPr>
        <w:pStyle w:val="ListParagraph"/>
      </w:pPr>
      <w:r>
        <w:rPr>
          <w:b/>
          <w:bCs/>
        </w:rPr>
        <w:t xml:space="preserve">Premises security: </w:t>
      </w:r>
      <w:r>
        <w:t>Locked premises; alarm system; visitor management (sign-in, escorting in sensitive areas).</w:t>
      </w:r>
    </w:p>
    <w:p w14:paraId="149C6626" w14:textId="11D48E7C" w:rsidR="005776EE" w:rsidRDefault="005776EE" w:rsidP="00A30EAA">
      <w:pPr>
        <w:pStyle w:val="ListParagraph"/>
      </w:pPr>
      <w:r>
        <w:rPr>
          <w:b/>
          <w:bCs/>
        </w:rPr>
        <w:t xml:space="preserve">Document security: </w:t>
      </w:r>
      <w:r>
        <w:t>Lockable filing cabinets for sensitive files</w:t>
      </w:r>
      <w:r w:rsidR="000F00B7">
        <w:t>, fire / flood resistance for safe custody</w:t>
      </w:r>
      <w:r>
        <w:t>; clear desk policy; secure storage for identity documents.</w:t>
      </w:r>
      <w:r w:rsidR="00980CBD">
        <w:t xml:space="preserve"> Archive files should not be stored in insecure sheds or under-house storage areas.</w:t>
      </w:r>
    </w:p>
    <w:p w14:paraId="4F076EC9" w14:textId="44CE6433" w:rsidR="005776EE" w:rsidRDefault="005776EE" w:rsidP="00A30EAA">
      <w:pPr>
        <w:pStyle w:val="ListParagraph"/>
      </w:pPr>
      <w:r>
        <w:rPr>
          <w:b/>
          <w:bCs/>
        </w:rPr>
        <w:t xml:space="preserve">Device security: </w:t>
      </w:r>
      <w:r>
        <w:t>Screen locks when unattended; secure laptop storage; mobile device management for firm devices.</w:t>
      </w:r>
    </w:p>
    <w:p w14:paraId="6B31EA96" w14:textId="5A10E6A5" w:rsidR="005776EE" w:rsidRDefault="005776EE" w:rsidP="00A30EAA">
      <w:pPr>
        <w:pStyle w:val="ListParagraph"/>
      </w:pPr>
      <w:r>
        <w:rPr>
          <w:b/>
          <w:bCs/>
        </w:rPr>
        <w:t xml:space="preserve">Secure disposal: </w:t>
      </w:r>
      <w:r>
        <w:t>Cross-cut shredding for confidential documents; secure destruction of storage media; secure disposal service with certificate.</w:t>
      </w:r>
    </w:p>
    <w:p w14:paraId="750166F6" w14:textId="25A94ED6" w:rsidR="005776EE" w:rsidRDefault="005776EE" w:rsidP="00A30EAA">
      <w:pPr>
        <w:pStyle w:val="NumberedHeading2"/>
      </w:pPr>
      <w:bookmarkStart w:id="307" w:name="_Toc220069985"/>
      <w:bookmarkStart w:id="308" w:name="_Toc220655128"/>
      <w:bookmarkStart w:id="309" w:name="_Toc231895217"/>
      <w:r>
        <w:t>Personnel Security Measures</w:t>
      </w:r>
      <w:bookmarkEnd w:id="307"/>
      <w:bookmarkEnd w:id="308"/>
      <w:bookmarkEnd w:id="309"/>
    </w:p>
    <w:p w14:paraId="51D7EFEA" w14:textId="77777777" w:rsidR="005776EE" w:rsidRDefault="005776EE" w:rsidP="00A30EAA">
      <w:pPr>
        <w:pStyle w:val="Body"/>
      </w:pPr>
      <w:r>
        <w:t>People are both the greatest security asset and the greatest security risk. Personnel measures include:</w:t>
      </w:r>
    </w:p>
    <w:p w14:paraId="641BCA48" w14:textId="3197B3EF" w:rsidR="005776EE" w:rsidRDefault="005776EE" w:rsidP="00A30EAA">
      <w:pPr>
        <w:pStyle w:val="ListParagraph"/>
      </w:pPr>
      <w:r>
        <w:rPr>
          <w:b/>
          <w:bCs/>
        </w:rPr>
        <w:t xml:space="preserve">Pre-employment checks: </w:t>
      </w:r>
      <w:r>
        <w:t>Reference checks; verification of qualifications; consider police checks for roles with access to sensitive information.</w:t>
      </w:r>
      <w:r w:rsidR="00805793">
        <w:t xml:space="preserve"> (See ARNECC model participation rules for mandatory pre-employment police &amp; other checks)</w:t>
      </w:r>
    </w:p>
    <w:p w14:paraId="192C2A0A" w14:textId="5640E86E" w:rsidR="005776EE" w:rsidRDefault="005776EE" w:rsidP="00A30EAA">
      <w:pPr>
        <w:pStyle w:val="ListParagraph"/>
      </w:pPr>
      <w:r>
        <w:rPr>
          <w:b/>
          <w:bCs/>
        </w:rPr>
        <w:t xml:space="preserve">Confidentiality agreements: </w:t>
      </w:r>
      <w:r>
        <w:t>Employment contracts should include confidentiality and privacy obligations.</w:t>
      </w:r>
    </w:p>
    <w:p w14:paraId="4E557B1A" w14:textId="6BB79AD8" w:rsidR="005776EE" w:rsidRDefault="005776EE" w:rsidP="00A30EAA">
      <w:pPr>
        <w:pStyle w:val="ListParagraph"/>
      </w:pPr>
      <w:r>
        <w:rPr>
          <w:b/>
          <w:bCs/>
        </w:rPr>
        <w:t xml:space="preserve">Training: </w:t>
      </w:r>
      <w:r>
        <w:t>Regular security awareness training covering phishing, social engineering, password security, and incident reporting.</w:t>
      </w:r>
    </w:p>
    <w:p w14:paraId="40607A7F" w14:textId="55CDF318" w:rsidR="005776EE" w:rsidRDefault="005776EE" w:rsidP="00A30EAA">
      <w:pPr>
        <w:pStyle w:val="ListParagraph"/>
      </w:pPr>
      <w:r>
        <w:rPr>
          <w:b/>
          <w:bCs/>
        </w:rPr>
        <w:t xml:space="preserve">Offboarding: </w:t>
      </w:r>
      <w:r>
        <w:t>Prompt access revocation when staff leave; return of firm devices and documents; exit reminders of ongoing confidentiality obligations.</w:t>
      </w:r>
    </w:p>
    <w:p w14:paraId="5048431C" w14:textId="77777777" w:rsidR="005776EE" w:rsidRDefault="005776EE" w:rsidP="00973158">
      <w:r>
        <w:br w:type="page"/>
      </w:r>
    </w:p>
    <w:p w14:paraId="66A996E3" w14:textId="499894B6" w:rsidR="009E78AA" w:rsidRDefault="005776EE" w:rsidP="00B8098D">
      <w:pPr>
        <w:pStyle w:val="NumberedHeading1"/>
      </w:pPr>
      <w:bookmarkStart w:id="310" w:name="_Toc220069986"/>
      <w:bookmarkStart w:id="311" w:name="_Toc220655129"/>
      <w:bookmarkStart w:id="312" w:name="_Toc231895218"/>
      <w:r>
        <w:lastRenderedPageBreak/>
        <w:t>Breach Response</w:t>
      </w:r>
      <w:bookmarkEnd w:id="310"/>
      <w:bookmarkEnd w:id="311"/>
      <w:bookmarkEnd w:id="312"/>
    </w:p>
    <w:p w14:paraId="5EEBB691" w14:textId="77777777" w:rsidR="00250E05" w:rsidRDefault="005776EE" w:rsidP="00A30EAA">
      <w:pPr>
        <w:pStyle w:val="Body"/>
      </w:pPr>
      <w:r>
        <w:t>The Notifiable Data Breaches (NDB) scheme requires entities to notify the OAIC and affected individuals when an 'eligible data breach' occurs.</w:t>
      </w:r>
      <w:r>
        <w:rPr>
          <w:rStyle w:val="FootnoteReference"/>
        </w:rPr>
        <w:footnoteReference w:id="149"/>
      </w:r>
      <w:r>
        <w:t xml:space="preserve"> </w:t>
      </w:r>
    </w:p>
    <w:p w14:paraId="59FA7C13" w14:textId="09ECDD1F" w:rsidR="005776EE" w:rsidRDefault="005776EE" w:rsidP="00A30EAA">
      <w:pPr>
        <w:pStyle w:val="Body"/>
      </w:pPr>
      <w:r>
        <w:t>Effective breach response requires preparation before a breach occurs. This chapter explains the NDB scheme and how to use Document 05: Data Breach Response Plan.</w:t>
      </w:r>
    </w:p>
    <w:p w14:paraId="7976D883" w14:textId="3C797F25" w:rsidR="005776EE" w:rsidRDefault="005776EE" w:rsidP="00A30EAA">
      <w:pPr>
        <w:pStyle w:val="NumberedHeading2"/>
      </w:pPr>
      <w:bookmarkStart w:id="313" w:name="_Toc220069987"/>
      <w:bookmarkStart w:id="314" w:name="_Toc220655130"/>
      <w:bookmarkStart w:id="315" w:name="_Toc231895219"/>
      <w:r>
        <w:t>What is an Eligible Data Breach?</w:t>
      </w:r>
      <w:bookmarkEnd w:id="313"/>
      <w:bookmarkEnd w:id="314"/>
      <w:bookmarkEnd w:id="315"/>
    </w:p>
    <w:p w14:paraId="5F5D2435" w14:textId="77777777" w:rsidR="005776EE" w:rsidRDefault="005776EE" w:rsidP="00A30EAA">
      <w:pPr>
        <w:pStyle w:val="Body"/>
      </w:pPr>
      <w:r>
        <w:t>An eligible data breach occurs when:</w:t>
      </w:r>
      <w:r>
        <w:rPr>
          <w:rStyle w:val="FootnoteReference"/>
        </w:rPr>
        <w:footnoteReference w:id="150"/>
      </w:r>
    </w:p>
    <w:p w14:paraId="1342E098" w14:textId="04CF3D3E" w:rsidR="005776EE" w:rsidRDefault="005776EE" w:rsidP="0021322E">
      <w:pPr>
        <w:pStyle w:val="ListNumber"/>
        <w:numPr>
          <w:ilvl w:val="0"/>
          <w:numId w:val="29"/>
        </w:numPr>
      </w:pPr>
      <w:r>
        <w:t xml:space="preserve">There is </w:t>
      </w:r>
      <w:proofErr w:type="spellStart"/>
      <w:r>
        <w:t>unauthorised</w:t>
      </w:r>
      <w:proofErr w:type="spellEnd"/>
      <w:r>
        <w:t xml:space="preserve"> access to, </w:t>
      </w:r>
      <w:proofErr w:type="spellStart"/>
      <w:r>
        <w:t>unauthorised</w:t>
      </w:r>
      <w:proofErr w:type="spellEnd"/>
      <w:r>
        <w:t xml:space="preserve"> disclosure of, or loss of personal information held by the entity; AND</w:t>
      </w:r>
    </w:p>
    <w:p w14:paraId="07AEEACF" w14:textId="4DCE779A" w:rsidR="005776EE" w:rsidRDefault="005776EE" w:rsidP="0021322E">
      <w:pPr>
        <w:pStyle w:val="ListNumber"/>
      </w:pPr>
      <w:r>
        <w:t>A reasonable person would conclude that the access, disclosure or loss is likely to result in serious harm to any of the individuals to whom the information relates.</w:t>
      </w:r>
    </w:p>
    <w:p w14:paraId="5C72B488" w14:textId="77777777" w:rsidR="005776EE" w:rsidRDefault="005776EE" w:rsidP="00A30EAA">
      <w:pPr>
        <w:pStyle w:val="Body"/>
      </w:pPr>
      <w:r>
        <w:t>'Serious harm' includes serious physical, psychological, emotional, financial, or reputational harm. Factors relevant to assessing serious harm include:</w:t>
      </w:r>
    </w:p>
    <w:p w14:paraId="37849B20" w14:textId="759D11D1" w:rsidR="005776EE" w:rsidRDefault="005776EE" w:rsidP="00A30EAA">
      <w:pPr>
        <w:pStyle w:val="ListParagraph"/>
      </w:pPr>
      <w:r>
        <w:t>the kind and sensitivity of the information (identity documents, financial information);</w:t>
      </w:r>
    </w:p>
    <w:p w14:paraId="753FECAB" w14:textId="05F3CAE5" w:rsidR="005776EE" w:rsidRDefault="005776EE" w:rsidP="00A30EAA">
      <w:pPr>
        <w:pStyle w:val="ListParagraph"/>
      </w:pPr>
      <w:r>
        <w:t>whether the information is protected by security measures (encryption);</w:t>
      </w:r>
    </w:p>
    <w:p w14:paraId="3067585A" w14:textId="3276731D" w:rsidR="005776EE" w:rsidRDefault="005776EE" w:rsidP="00A30EAA">
      <w:pPr>
        <w:pStyle w:val="ListParagraph"/>
      </w:pPr>
      <w:r>
        <w:t>the persons who have obtained or could obtain the information;</w:t>
      </w:r>
    </w:p>
    <w:p w14:paraId="6D67D2DC" w14:textId="15968B04" w:rsidR="004808B6" w:rsidRDefault="005776EE" w:rsidP="00A30EAA">
      <w:pPr>
        <w:pStyle w:val="ListParagraph"/>
      </w:pPr>
      <w:r>
        <w:t>whether the information could be used for identity fraud, financial fraud, or other harm.</w:t>
      </w:r>
    </w:p>
    <w:p w14:paraId="40C8DAED" w14:textId="045FFBF7" w:rsidR="004808B6" w:rsidRDefault="004808B6" w:rsidP="00A30EAA">
      <w:pPr>
        <w:pStyle w:val="Body"/>
      </w:pPr>
      <w:r>
        <w:t xml:space="preserve">The OAIC website has some </w:t>
      </w:r>
      <w:hyperlink r:id="rId18" w:history="1">
        <w:r w:rsidRPr="00265F3A">
          <w:rPr>
            <w:rStyle w:val="Hyperlink"/>
          </w:rPr>
          <w:t>useful decision trees and checklists</w:t>
        </w:r>
      </w:hyperlink>
      <w:r>
        <w:t xml:space="preserve"> to assist in this decision. One of the </w:t>
      </w:r>
      <w:r w:rsidR="002D6C4C">
        <w:t xml:space="preserve">services available under the </w:t>
      </w:r>
      <w:hyperlink r:id="rId19" w:history="1">
        <w:r w:rsidR="002D6C4C" w:rsidRPr="00C4539B">
          <w:rPr>
            <w:rStyle w:val="Hyperlink"/>
          </w:rPr>
          <w:t>QLS Cyber Essentials cyber insurance policy</w:t>
        </w:r>
      </w:hyperlink>
      <w:r w:rsidR="002D6C4C">
        <w:t xml:space="preserve"> is forensic analysis and expert advice to determine how serious a breach is and whether you</w:t>
      </w:r>
      <w:r w:rsidR="005618AE">
        <w:t xml:space="preserve"> have a notification obligation.</w:t>
      </w:r>
    </w:p>
    <w:p w14:paraId="2090D4EA" w14:textId="5FBD2A07" w:rsidR="00093CCC" w:rsidRDefault="00C2247B" w:rsidP="00A30EAA">
      <w:pPr>
        <w:pStyle w:val="Body"/>
      </w:pPr>
      <w:r>
        <w:t xml:space="preserve">Remember: if your firm has a turnover below $3M, the NDB scheme only applies if information </w:t>
      </w:r>
      <w:r w:rsidR="00B0367F">
        <w:t>collected for AML / CTF purposes is suspected to have been lost</w:t>
      </w:r>
      <w:r w:rsidR="00791628">
        <w:t xml:space="preserve"> – however, our fiduciary and ethical obligations will usually require </w:t>
      </w:r>
      <w:r w:rsidR="00C87CE3">
        <w:t xml:space="preserve">modified </w:t>
      </w:r>
      <w:r w:rsidR="00791628">
        <w:t>disclosure</w:t>
      </w:r>
      <w:r w:rsidR="00C87CE3">
        <w:t xml:space="preserve"> to affected parties</w:t>
      </w:r>
      <w:r w:rsidR="00791628">
        <w:t xml:space="preserve"> </w:t>
      </w:r>
      <w:r w:rsidR="00C87CE3">
        <w:t>even if the NDB scheme does not.</w:t>
      </w:r>
    </w:p>
    <w:tbl>
      <w:tblPr>
        <w:tblW w:w="5000" w:type="pct"/>
        <w:tblCellMar>
          <w:left w:w="10" w:type="dxa"/>
          <w:right w:w="10" w:type="dxa"/>
        </w:tblCellMar>
        <w:tblLook w:val="0000" w:firstRow="0" w:lastRow="0" w:firstColumn="0" w:lastColumn="0" w:noHBand="0" w:noVBand="0"/>
      </w:tblPr>
      <w:tblGrid>
        <w:gridCol w:w="9026"/>
      </w:tblGrid>
      <w:tr w:rsidR="005776EE" w14:paraId="5E081D4F" w14:textId="77777777" w:rsidTr="004D1E21">
        <w:tc>
          <w:tcPr>
            <w:tcW w:w="9026" w:type="dxa"/>
            <w:shd w:val="clear" w:color="auto" w:fill="FFF3CD"/>
            <w:tcMar>
              <w:top w:w="160" w:type="dxa"/>
              <w:left w:w="200" w:type="dxa"/>
              <w:bottom w:w="160" w:type="dxa"/>
              <w:right w:w="200" w:type="dxa"/>
            </w:tcMar>
          </w:tcPr>
          <w:p w14:paraId="52842494" w14:textId="193DFE52" w:rsidR="005776EE" w:rsidRPr="0021322E" w:rsidRDefault="005776EE" w:rsidP="00A30EAA">
            <w:pPr>
              <w:pStyle w:val="Body"/>
              <w:rPr>
                <w:rStyle w:val="Strong"/>
              </w:rPr>
            </w:pPr>
            <w:r w:rsidRPr="0021322E">
              <w:rPr>
                <w:rStyle w:val="Strong"/>
              </w:rPr>
              <w:t xml:space="preserve">Law Firm Context: </w:t>
            </w:r>
            <w:r w:rsidR="004808B6" w:rsidRPr="0021322E">
              <w:rPr>
                <w:rStyle w:val="Strong"/>
              </w:rPr>
              <w:t>Risk</w:t>
            </w:r>
            <w:r w:rsidRPr="0021322E">
              <w:rPr>
                <w:rStyle w:val="Strong"/>
              </w:rPr>
              <w:t xml:space="preserve"> of Serious Harm</w:t>
            </w:r>
          </w:p>
          <w:p w14:paraId="10365CBF" w14:textId="77777777" w:rsidR="005776EE" w:rsidRDefault="005776EE" w:rsidP="00A30EAA">
            <w:pPr>
              <w:pStyle w:val="Body"/>
            </w:pPr>
            <w:r>
              <w:t xml:space="preserve">Given the sensitivity of information typically held by law firms — including identity documents, financial details, and confidential legal communications — </w:t>
            </w:r>
            <w:r w:rsidR="004433E5">
              <w:t>many</w:t>
            </w:r>
            <w:r>
              <w:t xml:space="preserve"> data breaches affecting client information are likely to meet the 'serious harm' threshold. Err on the side of treating breaches as notifiable unless clearly low-risk.</w:t>
            </w:r>
          </w:p>
          <w:p w14:paraId="3A5545FA" w14:textId="3E4A82FD" w:rsidR="004433E5" w:rsidRDefault="004433E5" w:rsidP="00A30EAA">
            <w:pPr>
              <w:pStyle w:val="Body"/>
            </w:pPr>
            <w:r w:rsidRPr="0021322E">
              <w:rPr>
                <w:b/>
                <w:bCs/>
              </w:rPr>
              <w:t xml:space="preserve">An example of a low-risk event: </w:t>
            </w:r>
            <w:r>
              <w:t>an email containing confidential client information is sent to another firm accidentally. The firm agrees to delete the information. You inform your client of the event but</w:t>
            </w:r>
            <w:r w:rsidR="0051620C">
              <w:t xml:space="preserve"> may </w:t>
            </w:r>
            <w:r w:rsidR="00F103F0">
              <w:t>reasonably conclude that no serious harm is likely</w:t>
            </w:r>
            <w:r w:rsidR="0051620C">
              <w:t>.</w:t>
            </w:r>
          </w:p>
          <w:p w14:paraId="327C1A42" w14:textId="4032CBD1" w:rsidR="0051620C" w:rsidRDefault="0051620C" w:rsidP="00A30EAA">
            <w:pPr>
              <w:pStyle w:val="Body"/>
            </w:pPr>
            <w:r w:rsidRPr="0021322E">
              <w:rPr>
                <w:b/>
                <w:bCs/>
              </w:rPr>
              <w:t>An example of a high-risk event:</w:t>
            </w:r>
            <w:r>
              <w:t xml:space="preserve"> a conveyancer’s email account is compromised and attempts to divert funds were unsuccessful. On forensic analysis it appears that several </w:t>
            </w:r>
            <w:r w:rsidR="00696ED9">
              <w:t>months’ worth</w:t>
            </w:r>
            <w:r>
              <w:t xml:space="preserve"> of email have been copied. Despite the fact that the attacker’s primary objective seems to be </w:t>
            </w:r>
            <w:r w:rsidR="00E91C4A">
              <w:t xml:space="preserve">funds diversion, it is quite possible that </w:t>
            </w:r>
            <w:r w:rsidR="0073235D">
              <w:t>confidential data will be sold. It is likely that this is an NDB event.</w:t>
            </w:r>
          </w:p>
        </w:tc>
      </w:tr>
    </w:tbl>
    <w:p w14:paraId="749398B8" w14:textId="77777777" w:rsidR="004D1E21" w:rsidRDefault="004D1E21" w:rsidP="008547F6">
      <w:pPr>
        <w:pStyle w:val="Heading2"/>
      </w:pPr>
      <w:bookmarkStart w:id="316" w:name="_Toc220069988"/>
      <w:bookmarkStart w:id="317" w:name="_Toc220655131"/>
    </w:p>
    <w:p w14:paraId="65901EEA" w14:textId="77777777" w:rsidR="004D1E21" w:rsidRDefault="004D1E21">
      <w:pPr>
        <w:spacing w:after="0"/>
        <w:rPr>
          <w:b/>
          <w:bCs/>
          <w:iCs/>
          <w:color w:val="0F2D52"/>
          <w:sz w:val="28"/>
          <w:szCs w:val="28"/>
        </w:rPr>
      </w:pPr>
      <w:r>
        <w:br w:type="page"/>
      </w:r>
    </w:p>
    <w:p w14:paraId="118E39FB" w14:textId="51F9F0CE" w:rsidR="005776EE" w:rsidRDefault="005776EE" w:rsidP="00A30EAA">
      <w:pPr>
        <w:pStyle w:val="NumberedHeading2"/>
      </w:pPr>
      <w:bookmarkStart w:id="318" w:name="_Toc231895220"/>
      <w:r>
        <w:lastRenderedPageBreak/>
        <w:t>The Four-Step Response Process</w:t>
      </w:r>
      <w:bookmarkEnd w:id="316"/>
      <w:bookmarkEnd w:id="317"/>
      <w:bookmarkEnd w:id="318"/>
    </w:p>
    <w:p w14:paraId="185310C0" w14:textId="2420133A" w:rsidR="005776EE" w:rsidRDefault="005776EE" w:rsidP="00A30EAA">
      <w:pPr>
        <w:pStyle w:val="Body"/>
      </w:pPr>
      <w:r>
        <w:t>The OAIC recommends a four-step approach to breach response.</w:t>
      </w:r>
      <w:r>
        <w:rPr>
          <w:rStyle w:val="FootnoteReference"/>
        </w:rPr>
        <w:footnoteReference w:id="151"/>
      </w:r>
      <w:r>
        <w:t xml:space="preserve"> Document 05 provides a </w:t>
      </w:r>
      <w:r w:rsidR="00C74907">
        <w:t>basic</w:t>
      </w:r>
      <w:r>
        <w:t xml:space="preserve"> plan </w:t>
      </w:r>
      <w:r w:rsidR="00C74907">
        <w:t>following</w:t>
      </w:r>
      <w:r>
        <w:t xml:space="preserve"> this framework:</w:t>
      </w:r>
      <w:r w:rsidR="00F02528">
        <w:t xml:space="preserve"> (See also the </w:t>
      </w:r>
      <w:hyperlink r:id="rId20" w:history="1">
        <w:r w:rsidR="00F02528" w:rsidRPr="006C349A">
          <w:rPr>
            <w:rStyle w:val="Hyperlink"/>
          </w:rPr>
          <w:t>QLS Data Breach Checklist</w:t>
        </w:r>
      </w:hyperlink>
      <w:r w:rsidR="00F02528">
        <w:t>)</w:t>
      </w:r>
    </w:p>
    <w:tbl>
      <w:tblPr>
        <w:tblW w:w="5000" w:type="pct"/>
        <w:tblCellMar>
          <w:left w:w="10" w:type="dxa"/>
          <w:right w:w="10" w:type="dxa"/>
        </w:tblCellMar>
        <w:tblLook w:val="0000" w:firstRow="0" w:lastRow="0" w:firstColumn="0" w:lastColumn="0" w:noHBand="0" w:noVBand="0"/>
      </w:tblPr>
      <w:tblGrid>
        <w:gridCol w:w="1500"/>
        <w:gridCol w:w="2500"/>
        <w:gridCol w:w="5026"/>
      </w:tblGrid>
      <w:tr w:rsidR="005776EE" w14:paraId="19FF6F49" w14:textId="77777777" w:rsidTr="00360D72">
        <w:tc>
          <w:tcPr>
            <w:tcW w:w="1500" w:type="dxa"/>
            <w:shd w:val="clear" w:color="auto" w:fill="0F2D52"/>
            <w:tcMar>
              <w:top w:w="100" w:type="dxa"/>
              <w:left w:w="120" w:type="dxa"/>
              <w:bottom w:w="100" w:type="dxa"/>
              <w:right w:w="120" w:type="dxa"/>
            </w:tcMar>
          </w:tcPr>
          <w:p w14:paraId="45B662ED" w14:textId="77777777" w:rsidR="005776EE" w:rsidRPr="0027031D" w:rsidRDefault="005776EE" w:rsidP="00360D72">
            <w:pPr>
              <w:pStyle w:val="TableHeading"/>
            </w:pPr>
            <w:r w:rsidRPr="0027031D">
              <w:t>Step</w:t>
            </w:r>
          </w:p>
        </w:tc>
        <w:tc>
          <w:tcPr>
            <w:tcW w:w="2500" w:type="dxa"/>
            <w:shd w:val="clear" w:color="auto" w:fill="0F2D52"/>
            <w:tcMar>
              <w:top w:w="100" w:type="dxa"/>
              <w:left w:w="120" w:type="dxa"/>
              <w:bottom w:w="100" w:type="dxa"/>
              <w:right w:w="120" w:type="dxa"/>
            </w:tcMar>
          </w:tcPr>
          <w:p w14:paraId="00FDFB63" w14:textId="77777777" w:rsidR="005776EE" w:rsidRPr="0027031D" w:rsidRDefault="005776EE" w:rsidP="00360D72">
            <w:pPr>
              <w:pStyle w:val="TableHeading"/>
            </w:pPr>
            <w:r w:rsidRPr="0027031D">
              <w:t>Action</w:t>
            </w:r>
          </w:p>
        </w:tc>
        <w:tc>
          <w:tcPr>
            <w:tcW w:w="5026" w:type="dxa"/>
            <w:shd w:val="clear" w:color="auto" w:fill="0F2D52"/>
            <w:tcMar>
              <w:top w:w="100" w:type="dxa"/>
              <w:left w:w="120" w:type="dxa"/>
              <w:bottom w:w="100" w:type="dxa"/>
              <w:right w:w="120" w:type="dxa"/>
            </w:tcMar>
          </w:tcPr>
          <w:p w14:paraId="2AA1BDE9" w14:textId="77777777" w:rsidR="005776EE" w:rsidRPr="0027031D" w:rsidRDefault="005776EE" w:rsidP="00360D72">
            <w:pPr>
              <w:pStyle w:val="TableHeading"/>
            </w:pPr>
            <w:r w:rsidRPr="0027031D">
              <w:t>Key Activities</w:t>
            </w:r>
          </w:p>
        </w:tc>
      </w:tr>
      <w:tr w:rsidR="005776EE" w14:paraId="05C42CB9" w14:textId="77777777" w:rsidTr="00360D72">
        <w:tc>
          <w:tcPr>
            <w:tcW w:w="1500" w:type="dxa"/>
            <w:tcBorders>
              <w:bottom w:val="single" w:sz="4" w:space="0" w:color="auto"/>
            </w:tcBorders>
            <w:tcMar>
              <w:top w:w="100" w:type="dxa"/>
              <w:left w:w="120" w:type="dxa"/>
              <w:bottom w:w="100" w:type="dxa"/>
              <w:right w:w="120" w:type="dxa"/>
            </w:tcMar>
          </w:tcPr>
          <w:p w14:paraId="775D081D" w14:textId="77777777" w:rsidR="005776EE" w:rsidRDefault="005776EE" w:rsidP="0021322E">
            <w:pPr>
              <w:pStyle w:val="Tablecontent"/>
            </w:pPr>
            <w:r>
              <w:t>Step 1</w:t>
            </w:r>
          </w:p>
        </w:tc>
        <w:tc>
          <w:tcPr>
            <w:tcW w:w="2500" w:type="dxa"/>
            <w:tcBorders>
              <w:bottom w:val="single" w:sz="4" w:space="0" w:color="auto"/>
            </w:tcBorders>
            <w:tcMar>
              <w:top w:w="100" w:type="dxa"/>
              <w:left w:w="120" w:type="dxa"/>
              <w:bottom w:w="100" w:type="dxa"/>
              <w:right w:w="120" w:type="dxa"/>
            </w:tcMar>
          </w:tcPr>
          <w:p w14:paraId="470D38C2" w14:textId="77777777" w:rsidR="005776EE" w:rsidRDefault="005776EE" w:rsidP="0021322E">
            <w:pPr>
              <w:pStyle w:val="Tablecontent"/>
            </w:pPr>
            <w:r>
              <w:t>Contain</w:t>
            </w:r>
          </w:p>
        </w:tc>
        <w:tc>
          <w:tcPr>
            <w:tcW w:w="5026" w:type="dxa"/>
            <w:tcBorders>
              <w:bottom w:val="single" w:sz="4" w:space="0" w:color="auto"/>
            </w:tcBorders>
            <w:tcMar>
              <w:top w:w="100" w:type="dxa"/>
              <w:left w:w="120" w:type="dxa"/>
              <w:bottom w:w="100" w:type="dxa"/>
              <w:right w:w="120" w:type="dxa"/>
            </w:tcMar>
          </w:tcPr>
          <w:p w14:paraId="61474237" w14:textId="77777777" w:rsidR="005776EE" w:rsidRDefault="005776EE" w:rsidP="0021322E">
            <w:pPr>
              <w:pStyle w:val="Tablecontent"/>
            </w:pPr>
            <w:r>
              <w:t>Stop the breach; limit damage; preserve evidence; secure systems; isolate affected data or accounts</w:t>
            </w:r>
          </w:p>
        </w:tc>
      </w:tr>
      <w:tr w:rsidR="005776EE" w14:paraId="57605E9D" w14:textId="77777777" w:rsidTr="00360D72">
        <w:tc>
          <w:tcPr>
            <w:tcW w:w="1500" w:type="dxa"/>
            <w:tcBorders>
              <w:top w:val="single" w:sz="4" w:space="0" w:color="auto"/>
              <w:bottom w:val="single" w:sz="4" w:space="0" w:color="auto"/>
            </w:tcBorders>
            <w:tcMar>
              <w:top w:w="100" w:type="dxa"/>
              <w:left w:w="120" w:type="dxa"/>
              <w:bottom w:w="100" w:type="dxa"/>
              <w:right w:w="120" w:type="dxa"/>
            </w:tcMar>
          </w:tcPr>
          <w:p w14:paraId="51F46888" w14:textId="77777777" w:rsidR="005776EE" w:rsidRDefault="005776EE" w:rsidP="0021322E">
            <w:pPr>
              <w:pStyle w:val="Tablecontent"/>
            </w:pPr>
            <w:r>
              <w:t>Step 2</w:t>
            </w:r>
          </w:p>
        </w:tc>
        <w:tc>
          <w:tcPr>
            <w:tcW w:w="2500" w:type="dxa"/>
            <w:tcBorders>
              <w:top w:val="single" w:sz="4" w:space="0" w:color="auto"/>
              <w:bottom w:val="single" w:sz="4" w:space="0" w:color="auto"/>
            </w:tcBorders>
            <w:tcMar>
              <w:top w:w="100" w:type="dxa"/>
              <w:left w:w="120" w:type="dxa"/>
              <w:bottom w:w="100" w:type="dxa"/>
              <w:right w:w="120" w:type="dxa"/>
            </w:tcMar>
          </w:tcPr>
          <w:p w14:paraId="285B1382" w14:textId="77777777" w:rsidR="005776EE" w:rsidRDefault="005776EE" w:rsidP="0021322E">
            <w:pPr>
              <w:pStyle w:val="Tablecontent"/>
            </w:pPr>
            <w:r>
              <w:t>Assess</w:t>
            </w:r>
          </w:p>
        </w:tc>
        <w:tc>
          <w:tcPr>
            <w:tcW w:w="5026" w:type="dxa"/>
            <w:tcBorders>
              <w:top w:val="single" w:sz="4" w:space="0" w:color="auto"/>
              <w:bottom w:val="single" w:sz="4" w:space="0" w:color="auto"/>
            </w:tcBorders>
            <w:tcMar>
              <w:top w:w="100" w:type="dxa"/>
              <w:left w:w="120" w:type="dxa"/>
              <w:bottom w:w="100" w:type="dxa"/>
              <w:right w:w="120" w:type="dxa"/>
            </w:tcMar>
          </w:tcPr>
          <w:p w14:paraId="49081D7F" w14:textId="77777777" w:rsidR="005776EE" w:rsidRDefault="005776EE" w:rsidP="0021322E">
            <w:pPr>
              <w:pStyle w:val="Tablecontent"/>
            </w:pPr>
            <w:r>
              <w:t>Investigate what happened; identify affected information and individuals; assess likelihood of serious harm; document findings (within 30 days if breach suspected)</w:t>
            </w:r>
          </w:p>
        </w:tc>
      </w:tr>
      <w:tr w:rsidR="005776EE" w14:paraId="47AB6AEA" w14:textId="77777777" w:rsidTr="00360D72">
        <w:tc>
          <w:tcPr>
            <w:tcW w:w="1500" w:type="dxa"/>
            <w:tcBorders>
              <w:top w:val="single" w:sz="4" w:space="0" w:color="auto"/>
              <w:bottom w:val="single" w:sz="4" w:space="0" w:color="auto"/>
            </w:tcBorders>
            <w:tcMar>
              <w:top w:w="100" w:type="dxa"/>
              <w:left w:w="120" w:type="dxa"/>
              <w:bottom w:w="100" w:type="dxa"/>
              <w:right w:w="120" w:type="dxa"/>
            </w:tcMar>
          </w:tcPr>
          <w:p w14:paraId="271A7FD5" w14:textId="77777777" w:rsidR="005776EE" w:rsidRDefault="005776EE" w:rsidP="0021322E">
            <w:pPr>
              <w:pStyle w:val="Tablecontent"/>
            </w:pPr>
            <w:r>
              <w:t>Step 3</w:t>
            </w:r>
          </w:p>
        </w:tc>
        <w:tc>
          <w:tcPr>
            <w:tcW w:w="2500" w:type="dxa"/>
            <w:tcBorders>
              <w:top w:val="single" w:sz="4" w:space="0" w:color="auto"/>
              <w:bottom w:val="single" w:sz="4" w:space="0" w:color="auto"/>
            </w:tcBorders>
            <w:tcMar>
              <w:top w:w="100" w:type="dxa"/>
              <w:left w:w="120" w:type="dxa"/>
              <w:bottom w:w="100" w:type="dxa"/>
              <w:right w:w="120" w:type="dxa"/>
            </w:tcMar>
          </w:tcPr>
          <w:p w14:paraId="3EA6DD34" w14:textId="77777777" w:rsidR="005776EE" w:rsidRDefault="005776EE" w:rsidP="0021322E">
            <w:pPr>
              <w:pStyle w:val="Tablecontent"/>
            </w:pPr>
            <w:r>
              <w:t>Notify</w:t>
            </w:r>
          </w:p>
        </w:tc>
        <w:tc>
          <w:tcPr>
            <w:tcW w:w="5026" w:type="dxa"/>
            <w:tcBorders>
              <w:top w:val="single" w:sz="4" w:space="0" w:color="auto"/>
              <w:bottom w:val="single" w:sz="4" w:space="0" w:color="auto"/>
            </w:tcBorders>
            <w:tcMar>
              <w:top w:w="100" w:type="dxa"/>
              <w:left w:w="120" w:type="dxa"/>
              <w:bottom w:w="100" w:type="dxa"/>
              <w:right w:w="120" w:type="dxa"/>
            </w:tcMar>
          </w:tcPr>
          <w:p w14:paraId="2280F107" w14:textId="3A643052" w:rsidR="005776EE" w:rsidRDefault="005776EE" w:rsidP="0021322E">
            <w:pPr>
              <w:pStyle w:val="Tablecontent"/>
            </w:pPr>
            <w:r>
              <w:t>If eligible data breach: notify OAIC using online form; notify affected individuals</w:t>
            </w:r>
          </w:p>
        </w:tc>
      </w:tr>
      <w:tr w:rsidR="005776EE" w14:paraId="7EFADF02" w14:textId="77777777" w:rsidTr="00360D72">
        <w:tc>
          <w:tcPr>
            <w:tcW w:w="1500" w:type="dxa"/>
            <w:tcBorders>
              <w:top w:val="single" w:sz="4" w:space="0" w:color="auto"/>
              <w:bottom w:val="single" w:sz="4" w:space="0" w:color="auto"/>
            </w:tcBorders>
            <w:tcMar>
              <w:top w:w="100" w:type="dxa"/>
              <w:left w:w="120" w:type="dxa"/>
              <w:bottom w:w="100" w:type="dxa"/>
              <w:right w:w="120" w:type="dxa"/>
            </w:tcMar>
          </w:tcPr>
          <w:p w14:paraId="163176E4" w14:textId="77777777" w:rsidR="005776EE" w:rsidRDefault="005776EE" w:rsidP="0021322E">
            <w:pPr>
              <w:pStyle w:val="Tablecontent"/>
            </w:pPr>
            <w:r>
              <w:t>Step 4</w:t>
            </w:r>
          </w:p>
        </w:tc>
        <w:tc>
          <w:tcPr>
            <w:tcW w:w="2500" w:type="dxa"/>
            <w:tcBorders>
              <w:top w:val="single" w:sz="4" w:space="0" w:color="auto"/>
              <w:bottom w:val="single" w:sz="4" w:space="0" w:color="auto"/>
            </w:tcBorders>
            <w:tcMar>
              <w:top w:w="100" w:type="dxa"/>
              <w:left w:w="120" w:type="dxa"/>
              <w:bottom w:w="100" w:type="dxa"/>
              <w:right w:w="120" w:type="dxa"/>
            </w:tcMar>
          </w:tcPr>
          <w:p w14:paraId="02AAC12E" w14:textId="77777777" w:rsidR="005776EE" w:rsidRDefault="005776EE" w:rsidP="0021322E">
            <w:pPr>
              <w:pStyle w:val="Tablecontent"/>
            </w:pPr>
            <w:r>
              <w:t>Review</w:t>
            </w:r>
          </w:p>
        </w:tc>
        <w:tc>
          <w:tcPr>
            <w:tcW w:w="5026" w:type="dxa"/>
            <w:tcBorders>
              <w:top w:val="single" w:sz="4" w:space="0" w:color="auto"/>
              <w:bottom w:val="single" w:sz="4" w:space="0" w:color="auto"/>
            </w:tcBorders>
            <w:tcMar>
              <w:top w:w="100" w:type="dxa"/>
              <w:left w:w="120" w:type="dxa"/>
              <w:bottom w:w="100" w:type="dxa"/>
              <w:right w:w="120" w:type="dxa"/>
            </w:tcMar>
          </w:tcPr>
          <w:p w14:paraId="6BC1A599" w14:textId="77777777" w:rsidR="005776EE" w:rsidRDefault="005776EE" w:rsidP="0021322E">
            <w:pPr>
              <w:pStyle w:val="Tablecontent"/>
            </w:pPr>
            <w:r>
              <w:t>Conduct post-incident review; identify root cause; implement improvements; update breach response plan; document lessons learned</w:t>
            </w:r>
          </w:p>
        </w:tc>
      </w:tr>
    </w:tbl>
    <w:p w14:paraId="3287739B" w14:textId="216EC8AE" w:rsidR="005776EE" w:rsidRDefault="005776EE" w:rsidP="00A30EAA">
      <w:pPr>
        <w:pStyle w:val="NumberedHeading2"/>
      </w:pPr>
      <w:bookmarkStart w:id="319" w:name="_Toc220069989"/>
      <w:bookmarkStart w:id="320" w:name="_Toc220655132"/>
      <w:bookmarkStart w:id="321" w:name="_Toc231895221"/>
      <w:r>
        <w:t>The 30-Day Assessment Period</w:t>
      </w:r>
      <w:bookmarkEnd w:id="319"/>
      <w:bookmarkEnd w:id="320"/>
      <w:bookmarkEnd w:id="321"/>
    </w:p>
    <w:p w14:paraId="116AD468" w14:textId="4E7840E0" w:rsidR="005776EE" w:rsidRDefault="005776EE" w:rsidP="00A30EAA">
      <w:pPr>
        <w:pStyle w:val="Body"/>
      </w:pPr>
      <w:r>
        <w:t>When an entity has reasonable grounds to suspect an eligible data breach may have occurred, it must complete an assessment within 30 days.</w:t>
      </w:r>
      <w:r>
        <w:rPr>
          <w:rStyle w:val="FootnoteReference"/>
        </w:rPr>
        <w:footnoteReference w:id="152"/>
      </w:r>
      <w:r>
        <w:t xml:space="preserve"> </w:t>
      </w:r>
      <w:r w:rsidR="00AA04A9">
        <w:t>That is a maximum period</w:t>
      </w:r>
      <w:r w:rsidR="00A664F8">
        <w:t>.</w:t>
      </w:r>
      <w:r w:rsidR="00AA04A9">
        <w:t xml:space="preserve"> </w:t>
      </w:r>
      <w:r>
        <w:t>The 30-day period begins when the suspicion arises.</w:t>
      </w:r>
    </w:p>
    <w:p w14:paraId="22E8D8F1" w14:textId="4D672A29" w:rsidR="0063228D" w:rsidRDefault="005776EE" w:rsidP="00A30EAA">
      <w:pPr>
        <w:pStyle w:val="Body"/>
      </w:pPr>
      <w:r>
        <w:t>The assessment must determine whether the breach is an 'eligible data breach'</w:t>
      </w:r>
      <w:r w:rsidR="00F97260">
        <w:t xml:space="preserve">, </w:t>
      </w:r>
      <w:r>
        <w:t>that is, whether serious harm is likely. If the assessment is not completed within 30 days, the breach is deemed to be an eligible data breach and notification is required.</w:t>
      </w:r>
      <w:r w:rsidR="00137163">
        <w:rPr>
          <w:rStyle w:val="FootnoteReference"/>
        </w:rPr>
        <w:footnoteReference w:id="153"/>
      </w:r>
    </w:p>
    <w:p w14:paraId="227E99E3" w14:textId="77777777" w:rsidR="004D1E21" w:rsidRDefault="004D1E21">
      <w:pPr>
        <w:spacing w:after="0"/>
        <w:rPr>
          <w:b/>
          <w:bCs/>
          <w:iCs/>
          <w:color w:val="0F2D52"/>
          <w:sz w:val="28"/>
          <w:szCs w:val="28"/>
        </w:rPr>
      </w:pPr>
      <w:bookmarkStart w:id="322" w:name="_Toc220069990"/>
      <w:bookmarkStart w:id="323" w:name="_Toc220655133"/>
      <w:r>
        <w:br w:type="page"/>
      </w:r>
    </w:p>
    <w:p w14:paraId="611E718C" w14:textId="0D0FD436" w:rsidR="005776EE" w:rsidRDefault="005776EE" w:rsidP="00A30EAA">
      <w:pPr>
        <w:pStyle w:val="NumberedHeading2"/>
      </w:pPr>
      <w:bookmarkStart w:id="324" w:name="_Toc231895222"/>
      <w:r>
        <w:lastRenderedPageBreak/>
        <w:t>Notification Requirements</w:t>
      </w:r>
      <w:bookmarkEnd w:id="322"/>
      <w:bookmarkEnd w:id="323"/>
      <w:bookmarkEnd w:id="324"/>
    </w:p>
    <w:p w14:paraId="67F70117" w14:textId="77777777" w:rsidR="005776EE" w:rsidRDefault="005776EE" w:rsidP="00A30EAA">
      <w:pPr>
        <w:pStyle w:val="Body"/>
      </w:pPr>
      <w:r>
        <w:t>If a breach is an eligible data breach, notification must be provided as soon as practicable.</w:t>
      </w:r>
    </w:p>
    <w:p w14:paraId="09F1CB84" w14:textId="77777777" w:rsidR="005776EE" w:rsidRDefault="005776EE" w:rsidP="00973158">
      <w:pPr>
        <w:pStyle w:val="Heading3"/>
      </w:pPr>
      <w:bookmarkStart w:id="325" w:name="_Toc220069991"/>
      <w:r>
        <w:t>Notification to the OAIC</w:t>
      </w:r>
      <w:bookmarkEnd w:id="325"/>
    </w:p>
    <w:p w14:paraId="1C19399B" w14:textId="77777777" w:rsidR="005776EE" w:rsidRDefault="005776EE" w:rsidP="00A30EAA">
      <w:pPr>
        <w:pStyle w:val="Body"/>
      </w:pPr>
      <w:r>
        <w:t>The statement to the OAIC must include:</w:t>
      </w:r>
      <w:r>
        <w:rPr>
          <w:rStyle w:val="FootnoteReference"/>
        </w:rPr>
        <w:footnoteReference w:id="154"/>
      </w:r>
    </w:p>
    <w:p w14:paraId="0EC3C10F" w14:textId="3F2C4750" w:rsidR="005776EE" w:rsidRDefault="00372EDD" w:rsidP="00A30EAA">
      <w:pPr>
        <w:pStyle w:val="ListParagraph"/>
      </w:pPr>
      <w:r>
        <w:t>your firm</w:t>
      </w:r>
      <w:r w:rsidR="005776EE">
        <w:t xml:space="preserve"> </w:t>
      </w:r>
      <w:r>
        <w:t>name, trading entity</w:t>
      </w:r>
      <w:r w:rsidR="005776EE">
        <w:t xml:space="preserve"> and contact details;</w:t>
      </w:r>
    </w:p>
    <w:p w14:paraId="06D21673" w14:textId="72A1AB55" w:rsidR="005776EE" w:rsidRDefault="005776EE" w:rsidP="00A30EAA">
      <w:pPr>
        <w:pStyle w:val="ListParagraph"/>
      </w:pPr>
      <w:r>
        <w:t>a description of the breach;</w:t>
      </w:r>
    </w:p>
    <w:p w14:paraId="44B3DD85" w14:textId="4B688178" w:rsidR="005776EE" w:rsidRDefault="005776EE" w:rsidP="00A30EAA">
      <w:pPr>
        <w:pStyle w:val="ListParagraph"/>
      </w:pPr>
      <w:r>
        <w:t>the kinds of information involved;</w:t>
      </w:r>
    </w:p>
    <w:p w14:paraId="2F4EB940" w14:textId="38B13C95" w:rsidR="00B70375" w:rsidRDefault="005776EE" w:rsidP="00A30EAA">
      <w:pPr>
        <w:pStyle w:val="ListParagraph"/>
      </w:pPr>
      <w:r>
        <w:t>recommendations about steps individuals should take.</w:t>
      </w:r>
    </w:p>
    <w:p w14:paraId="6FFEF4DE" w14:textId="0C86ED6A" w:rsidR="005776EE" w:rsidRDefault="005776EE" w:rsidP="00A30EAA">
      <w:pPr>
        <w:pStyle w:val="Body"/>
      </w:pPr>
      <w:r>
        <w:t>Notification is made via the OAIC's online Notifiable Data Breach form.</w:t>
      </w:r>
    </w:p>
    <w:p w14:paraId="2304DB4A" w14:textId="77777777" w:rsidR="005776EE" w:rsidRDefault="005776EE" w:rsidP="00973158">
      <w:pPr>
        <w:pStyle w:val="Heading3"/>
      </w:pPr>
      <w:bookmarkStart w:id="326" w:name="_Toc220069992"/>
      <w:r>
        <w:t>Notification to individuals</w:t>
      </w:r>
      <w:bookmarkEnd w:id="326"/>
    </w:p>
    <w:p w14:paraId="0C5D7C6E" w14:textId="77777777" w:rsidR="005776EE" w:rsidRDefault="005776EE" w:rsidP="00A30EAA">
      <w:pPr>
        <w:pStyle w:val="Body"/>
      </w:pPr>
      <w:r>
        <w:t>Affected individuals must be notified with:</w:t>
      </w:r>
      <w:r>
        <w:rPr>
          <w:rStyle w:val="FootnoteReference"/>
        </w:rPr>
        <w:footnoteReference w:id="155"/>
      </w:r>
    </w:p>
    <w:p w14:paraId="797B3391" w14:textId="574E44B6" w:rsidR="005776EE" w:rsidRDefault="005776EE" w:rsidP="00A30EAA">
      <w:pPr>
        <w:pStyle w:val="ListParagraph"/>
      </w:pPr>
      <w:r>
        <w:t>a description of the breach;</w:t>
      </w:r>
    </w:p>
    <w:p w14:paraId="067636F1" w14:textId="3F5E7B1F" w:rsidR="005776EE" w:rsidRDefault="005776EE" w:rsidP="00A30EAA">
      <w:pPr>
        <w:pStyle w:val="ListParagraph"/>
      </w:pPr>
      <w:r>
        <w:t>the kinds of information involved;</w:t>
      </w:r>
    </w:p>
    <w:p w14:paraId="0026795F" w14:textId="0E640702" w:rsidR="005776EE" w:rsidRDefault="005776EE" w:rsidP="00A30EAA">
      <w:pPr>
        <w:pStyle w:val="ListParagraph"/>
      </w:pPr>
      <w:r>
        <w:t>recommendations about steps they should take (e.g., monitor accounts, change passwords, contact IDCARE)</w:t>
      </w:r>
      <w:r w:rsidR="00B00C5C">
        <w:t>;</w:t>
      </w:r>
    </w:p>
    <w:p w14:paraId="5F0ADF5E" w14:textId="4A5D7811" w:rsidR="005776EE" w:rsidRDefault="00B00C5C" w:rsidP="00A30EAA">
      <w:pPr>
        <w:pStyle w:val="ListParagraph"/>
      </w:pPr>
      <w:r>
        <w:t xml:space="preserve">If a client, a recommendation that they seek appropriate </w:t>
      </w:r>
      <w:r w:rsidR="00661D09">
        <w:t xml:space="preserve">legal and other </w:t>
      </w:r>
      <w:r>
        <w:t>advice</w:t>
      </w:r>
      <w:r w:rsidR="00661D09">
        <w:t xml:space="preserve">. </w:t>
      </w:r>
      <w:r w:rsidR="005776EE">
        <w:t>If direct notification is not practicable (e.g., contact details not available), substitute notification may be appropriate — such as publishing a notice on the firm's website and taking other reasonable steps to publicise the breach.</w:t>
      </w:r>
    </w:p>
    <w:p w14:paraId="56D05061" w14:textId="32931B32" w:rsidR="008B2971" w:rsidRDefault="008B2971" w:rsidP="00A30EAA">
      <w:pPr>
        <w:pStyle w:val="Body"/>
      </w:pPr>
      <w:r>
        <w:t>You should speak to your insurer to review policy obligations as part of this disclosure</w:t>
      </w:r>
      <w:r w:rsidR="00314063">
        <w:t xml:space="preserve"> and notification</w:t>
      </w:r>
      <w:r>
        <w:t xml:space="preserve"> process. </w:t>
      </w:r>
    </w:p>
    <w:p w14:paraId="3F27F949" w14:textId="0A5FC216" w:rsidR="005776EE" w:rsidRDefault="005776EE" w:rsidP="00A30EAA">
      <w:pPr>
        <w:pStyle w:val="NumberedHeading2"/>
      </w:pPr>
      <w:bookmarkStart w:id="327" w:name="_Toc220069993"/>
      <w:bookmarkStart w:id="328" w:name="_Toc220655134"/>
      <w:bookmarkStart w:id="329" w:name="_Toc231895223"/>
      <w:r>
        <w:t>Professional and Confidentiality Considerations</w:t>
      </w:r>
      <w:bookmarkEnd w:id="327"/>
      <w:bookmarkEnd w:id="328"/>
      <w:bookmarkEnd w:id="329"/>
    </w:p>
    <w:p w14:paraId="7B93291A" w14:textId="77777777" w:rsidR="005776EE" w:rsidRDefault="005776EE" w:rsidP="00A30EAA">
      <w:pPr>
        <w:pStyle w:val="Body"/>
      </w:pPr>
      <w:r>
        <w:t>A data breach at a law firm raises additional considerations beyond the NDB scheme:</w:t>
      </w:r>
    </w:p>
    <w:p w14:paraId="176568C5" w14:textId="36AA031A" w:rsidR="000564D4" w:rsidRDefault="005776EE" w:rsidP="00A30EAA">
      <w:pPr>
        <w:pStyle w:val="Body"/>
      </w:pPr>
      <w:r>
        <w:rPr>
          <w:b/>
          <w:bCs/>
        </w:rPr>
        <w:t xml:space="preserve">Professional obligations: </w:t>
      </w:r>
      <w:r>
        <w:t xml:space="preserve">A breach </w:t>
      </w:r>
      <w:r w:rsidR="003F5670">
        <w:t>involving client data is likely to</w:t>
      </w:r>
      <w:r>
        <w:t xml:space="preserve"> engage obligations under the Australian Solicitors' Conduct Rules</w:t>
      </w:r>
      <w:r w:rsidR="00C32E28">
        <w:t xml:space="preserve"> and fiduciary</w:t>
      </w:r>
      <w:r>
        <w:t xml:space="preserve"> duties </w:t>
      </w:r>
      <w:r w:rsidR="00C32E28">
        <w:t>to clients</w:t>
      </w:r>
      <w:r w:rsidR="00EE15C8">
        <w:t xml:space="preserve">. As a general proposition, a solicitor who has made an error adversely affecting client interests must disclose this </w:t>
      </w:r>
      <w:r w:rsidR="00EE15C8" w:rsidRPr="00EE15C8">
        <w:t>client promptly, frankly and in sufficient detail for the client to make informed decisions</w:t>
      </w:r>
      <w:r>
        <w:t>.</w:t>
      </w:r>
      <w:r>
        <w:rPr>
          <w:rStyle w:val="FootnoteReference"/>
        </w:rPr>
        <w:footnoteReference w:id="156"/>
      </w:r>
      <w:r>
        <w:t xml:space="preserve"> </w:t>
      </w:r>
    </w:p>
    <w:p w14:paraId="579CC481" w14:textId="638F9C20" w:rsidR="005776EE" w:rsidRDefault="006B4590" w:rsidP="00A30EAA">
      <w:pPr>
        <w:pStyle w:val="Body"/>
      </w:pPr>
      <w:r>
        <w:t>A</w:t>
      </w:r>
      <w:r w:rsidR="005776EE">
        <w:t>ffected clients should be notified as a matter of professional conduct (regardless of NDB requirements)</w:t>
      </w:r>
      <w:r>
        <w:t xml:space="preserve"> once it has been established that client data has been lost</w:t>
      </w:r>
      <w:r w:rsidR="005776EE">
        <w:t>.</w:t>
      </w:r>
    </w:p>
    <w:p w14:paraId="342B5EA8" w14:textId="246B646C" w:rsidR="005776EE" w:rsidRDefault="005776EE" w:rsidP="00A30EAA">
      <w:pPr>
        <w:pStyle w:val="Body"/>
      </w:pPr>
      <w:r>
        <w:rPr>
          <w:b/>
          <w:bCs/>
        </w:rPr>
        <w:t xml:space="preserve">Insurance: </w:t>
      </w:r>
      <w:r>
        <w:t>Professional indemnity insurance may be triggered by a data breach. Notify your insurer promptly.</w:t>
      </w:r>
      <w:r w:rsidR="006B4590">
        <w:t xml:space="preserve"> QLS Member firms may be eligible for assistance from the Cyber Essentials cybersecurity </w:t>
      </w:r>
      <w:r w:rsidR="008C3FCE">
        <w:t>group policy.</w:t>
      </w:r>
    </w:p>
    <w:p w14:paraId="7EDB2C0B" w14:textId="6AF3A965" w:rsidR="005776EE" w:rsidRDefault="005776EE" w:rsidP="00A30EAA">
      <w:pPr>
        <w:pStyle w:val="Body"/>
      </w:pPr>
      <w:r>
        <w:rPr>
          <w:b/>
          <w:bCs/>
        </w:rPr>
        <w:t xml:space="preserve">Suspicious matter reports: </w:t>
      </w:r>
      <w:r>
        <w:t>If the breach relates to AML/CTF records, be mindful of the tipping off prohibition — do not disclose the existence of any suspicious matter reports in breach notifications.</w:t>
      </w:r>
      <w:r>
        <w:rPr>
          <w:rStyle w:val="FootnoteReference"/>
        </w:rPr>
        <w:footnoteReference w:id="157"/>
      </w:r>
      <w:r w:rsidR="007310DF">
        <w:t xml:space="preserve"> Similarly, client </w:t>
      </w:r>
      <w:r w:rsidR="009E07BF">
        <w:t xml:space="preserve">details and especially privileged content must be protected. It would be unusual for the OAIC to need access to </w:t>
      </w:r>
      <w:r w:rsidR="009217B6">
        <w:t>material which would disclose either of these things.</w:t>
      </w:r>
    </w:p>
    <w:p w14:paraId="11803C4B" w14:textId="77777777" w:rsidR="009217B6" w:rsidRDefault="00B34D29" w:rsidP="00A30EAA">
      <w:pPr>
        <w:pStyle w:val="Body"/>
      </w:pPr>
      <w:r w:rsidRPr="003D1D93">
        <w:rPr>
          <w:b/>
          <w:bCs/>
        </w:rPr>
        <w:t>Other stakeholders</w:t>
      </w:r>
      <w:r>
        <w:t xml:space="preserve">: </w:t>
      </w:r>
      <w:r w:rsidR="001C0167">
        <w:t xml:space="preserve">opposing parties must be advised if their client’s confidentiality has been compromised. </w:t>
      </w:r>
    </w:p>
    <w:p w14:paraId="30BF23EF" w14:textId="4D21AC04" w:rsidR="00B34D29" w:rsidRDefault="001C0167" w:rsidP="00A30EAA">
      <w:pPr>
        <w:pStyle w:val="Body"/>
      </w:pPr>
      <w:r>
        <w:t xml:space="preserve">Access undertakings </w:t>
      </w:r>
      <w:r w:rsidR="00611C06">
        <w:t xml:space="preserve">that may have been given to gain access to family court </w:t>
      </w:r>
      <w:r w:rsidR="003D1D93">
        <w:t xml:space="preserve">or other restricted </w:t>
      </w:r>
      <w:r w:rsidR="00611C06">
        <w:t>subpoena material</w:t>
      </w:r>
      <w:r w:rsidR="009217B6">
        <w:t>, and a term of this undertaking</w:t>
      </w:r>
      <w:r w:rsidR="00611C06">
        <w:t xml:space="preserve"> </w:t>
      </w:r>
      <w:r w:rsidR="003D1D93">
        <w:t>usually requires notification to the Court as soon as possible.</w:t>
      </w:r>
    </w:p>
    <w:p w14:paraId="2DE8FCE0" w14:textId="5F472466" w:rsidR="009217B6" w:rsidRDefault="009217B6" w:rsidP="00A30EAA">
      <w:pPr>
        <w:pStyle w:val="Body"/>
      </w:pPr>
      <w:r>
        <w:lastRenderedPageBreak/>
        <w:t xml:space="preserve">Similarly, </w:t>
      </w:r>
      <w:r w:rsidR="00D40959">
        <w:t xml:space="preserve">participation rules/subscriber agreements for electronic conveyancing or other </w:t>
      </w:r>
      <w:r w:rsidR="00A84DDF">
        <w:t>e-commerce providers</w:t>
      </w:r>
      <w:r w:rsidR="00D40959">
        <w:t xml:space="preserve"> such as </w:t>
      </w:r>
      <w:r w:rsidR="00785FED">
        <w:t xml:space="preserve">Court </w:t>
      </w:r>
      <w:r w:rsidR="00A84DDF">
        <w:t>portals or banking may require notification of incidents.</w:t>
      </w:r>
    </w:p>
    <w:p w14:paraId="2303EDCC" w14:textId="77777777" w:rsidR="004D1E21" w:rsidRDefault="004D1E21">
      <w:pPr>
        <w:spacing w:after="0"/>
        <w:rPr>
          <w:b/>
          <w:bCs/>
          <w:iCs/>
          <w:color w:val="0F2D52"/>
          <w:sz w:val="28"/>
          <w:szCs w:val="28"/>
        </w:rPr>
      </w:pPr>
      <w:bookmarkStart w:id="330" w:name="_Toc220069994"/>
      <w:bookmarkStart w:id="331" w:name="_Toc220655135"/>
      <w:r>
        <w:br w:type="page"/>
      </w:r>
    </w:p>
    <w:p w14:paraId="39359A1B" w14:textId="5747ECED" w:rsidR="005776EE" w:rsidRDefault="005776EE" w:rsidP="00A30EAA">
      <w:pPr>
        <w:pStyle w:val="NumberedHeading2"/>
      </w:pPr>
      <w:bookmarkStart w:id="332" w:name="_Toc231895224"/>
      <w:r>
        <w:lastRenderedPageBreak/>
        <w:t>Using the Breach Response Plan</w:t>
      </w:r>
      <w:bookmarkEnd w:id="330"/>
      <w:bookmarkEnd w:id="331"/>
      <w:bookmarkEnd w:id="332"/>
    </w:p>
    <w:p w14:paraId="7847DF7C" w14:textId="77777777" w:rsidR="00EC4B8D" w:rsidRDefault="005776EE" w:rsidP="00A30EAA">
      <w:pPr>
        <w:pStyle w:val="Body"/>
      </w:pPr>
      <w:r>
        <w:t xml:space="preserve">Document 05: Data Breach Response Plan provides a </w:t>
      </w:r>
      <w:r w:rsidR="00A41298">
        <w:t>summary overview of what is needed</w:t>
      </w:r>
      <w:r w:rsidR="009A18C7">
        <w:t xml:space="preserve">. </w:t>
      </w:r>
    </w:p>
    <w:p w14:paraId="52C9E652" w14:textId="2A3CC46A" w:rsidR="00543E78" w:rsidRDefault="009A18C7" w:rsidP="00A30EAA">
      <w:pPr>
        <w:pStyle w:val="Body"/>
      </w:pPr>
      <w:r>
        <w:t>In case of a more serious incident it is strongly encouraged that you obtain expert advice (using the Cyber Essentials QLS Member Insurance if available.)</w:t>
      </w:r>
    </w:p>
    <w:p w14:paraId="3E3A8942" w14:textId="14C722AA" w:rsidR="005776EE" w:rsidRDefault="005776EE" w:rsidP="00A30EAA">
      <w:pPr>
        <w:pStyle w:val="Body"/>
      </w:pPr>
      <w:r>
        <w:t xml:space="preserve">Customise the plan by inserting your firm's details, designating response team members, and reviewing the procedures to ensure they reflect your firm's systems and processes. </w:t>
      </w:r>
    </w:p>
    <w:p w14:paraId="52D967F0" w14:textId="3D015870" w:rsidR="002F7424" w:rsidRDefault="00576C95" w:rsidP="00A30EAA">
      <w:pPr>
        <w:pStyle w:val="Body"/>
      </w:pPr>
      <w:r>
        <w:t>Having a plan is the foundation requirement for Privacy regulated entities. However, t</w:t>
      </w:r>
      <w:r w:rsidR="00882C01">
        <w:t>here are a</w:t>
      </w:r>
      <w:r>
        <w:t>lso</w:t>
      </w:r>
      <w:r w:rsidR="00882C01">
        <w:t xml:space="preserve"> number of k</w:t>
      </w:r>
      <w:r w:rsidR="002F7424">
        <w:t xml:space="preserve">ey things to </w:t>
      </w:r>
      <w:r>
        <w:t xml:space="preserve">work through </w:t>
      </w:r>
      <w:r w:rsidR="005B17F2">
        <w:t>that can greatly reduce the cost and impact of a cybersecurity incident. For example:</w:t>
      </w:r>
    </w:p>
    <w:p w14:paraId="16BAB433" w14:textId="0F0DDFE9" w:rsidR="002F7424" w:rsidRDefault="006D2A73" w:rsidP="00A30EAA">
      <w:pPr>
        <w:pStyle w:val="ListParagraph"/>
      </w:pPr>
      <w:r>
        <w:t>What should</w:t>
      </w:r>
      <w:r w:rsidR="002F7424">
        <w:t xml:space="preserve"> staff </w:t>
      </w:r>
      <w:r>
        <w:t>do</w:t>
      </w:r>
      <w:r w:rsidR="002F7424">
        <w:t xml:space="preserve"> if the Principal is not available?</w:t>
      </w:r>
    </w:p>
    <w:p w14:paraId="7973FCAC" w14:textId="793C98B5" w:rsidR="00986AA0" w:rsidRDefault="002F7424" w:rsidP="00A30EAA">
      <w:pPr>
        <w:pStyle w:val="ListParagraph"/>
      </w:pPr>
      <w:r>
        <w:t>Who will you turn to for assistance?</w:t>
      </w:r>
    </w:p>
    <w:p w14:paraId="42D69BFE" w14:textId="57E21462" w:rsidR="00986AA0" w:rsidRDefault="00986AA0" w:rsidP="00A30EAA">
      <w:pPr>
        <w:pStyle w:val="ListParagraph"/>
      </w:pPr>
      <w:r>
        <w:t>How will you triage urgent work and critical dates if your system is down?</w:t>
      </w:r>
    </w:p>
    <w:p w14:paraId="5F24C072" w14:textId="5E5678BC" w:rsidR="00986AA0" w:rsidRDefault="00986AA0" w:rsidP="00A30EAA">
      <w:pPr>
        <w:pStyle w:val="ListParagraph"/>
      </w:pPr>
      <w:r>
        <w:t>How will you communicate with clients?</w:t>
      </w:r>
    </w:p>
    <w:p w14:paraId="2723E435" w14:textId="2B30C4B2" w:rsidR="003672F8" w:rsidRDefault="003672F8" w:rsidP="00A30EAA">
      <w:pPr>
        <w:pStyle w:val="ListParagraph"/>
      </w:pPr>
      <w:r>
        <w:t>Does your system create logs that can be used to quickly establish what happened and whether data has been accessed?</w:t>
      </w:r>
    </w:p>
    <w:p w14:paraId="74949EAC" w14:textId="0F178869" w:rsidR="00576C95" w:rsidRDefault="005B348F" w:rsidP="00A30EAA">
      <w:pPr>
        <w:pStyle w:val="ListParagraph"/>
      </w:pPr>
      <w:r>
        <w:t xml:space="preserve">When did you last test that your backups are working? (Not just that </w:t>
      </w:r>
      <w:r w:rsidR="0088089B">
        <w:t>it seems to be working, but that you are getting usable copies that can be restored quickly.)</w:t>
      </w:r>
    </w:p>
    <w:p w14:paraId="64AB8304" w14:textId="77777777" w:rsidR="002473F1" w:rsidRDefault="002473F1">
      <w:pPr>
        <w:spacing w:after="0"/>
        <w:rPr>
          <w:b/>
          <w:bCs/>
          <w:kern w:val="32"/>
          <w:sz w:val="28"/>
          <w:szCs w:val="32"/>
        </w:rPr>
      </w:pPr>
      <w:bookmarkStart w:id="333" w:name="_Toc220069995"/>
      <w:bookmarkStart w:id="334" w:name="_Toc220655136"/>
      <w:r>
        <w:br w:type="page"/>
      </w:r>
    </w:p>
    <w:p w14:paraId="1A137A92" w14:textId="5E6AC0B2" w:rsidR="005776EE" w:rsidRDefault="005776EE" w:rsidP="00B8098D">
      <w:pPr>
        <w:pStyle w:val="NumberedHeading1"/>
      </w:pPr>
      <w:bookmarkStart w:id="335" w:name="_Toc231895225"/>
      <w:r>
        <w:lastRenderedPageBreak/>
        <w:t>Handling Access and Correction Requests</w:t>
      </w:r>
      <w:bookmarkEnd w:id="333"/>
      <w:bookmarkEnd w:id="334"/>
      <w:bookmarkEnd w:id="335"/>
    </w:p>
    <w:p w14:paraId="7851E876" w14:textId="77777777" w:rsidR="005776EE" w:rsidRDefault="005776EE" w:rsidP="00A30EAA">
      <w:pPr>
        <w:pStyle w:val="Body"/>
      </w:pPr>
      <w:r>
        <w:t>APPs 12 and 13 give individuals rights to access personal information held about them and to request correction of inaccurate information. This chapter provides practical guidance on handling these requests, including the exceptions that are particularly relevant to law firms.</w:t>
      </w:r>
    </w:p>
    <w:p w14:paraId="794FE442" w14:textId="27858373" w:rsidR="005776EE" w:rsidRDefault="005776EE" w:rsidP="00A30EAA">
      <w:pPr>
        <w:pStyle w:val="NumberedHeading2"/>
      </w:pPr>
      <w:bookmarkStart w:id="336" w:name="_Toc220069996"/>
      <w:bookmarkStart w:id="337" w:name="_Toc220655137"/>
      <w:bookmarkStart w:id="338" w:name="_Toc231895226"/>
      <w:r>
        <w:t>Recognising Access Requests</w:t>
      </w:r>
      <w:bookmarkEnd w:id="336"/>
      <w:bookmarkEnd w:id="337"/>
      <w:bookmarkEnd w:id="338"/>
    </w:p>
    <w:p w14:paraId="08F4BFAD" w14:textId="77777777" w:rsidR="005776EE" w:rsidRDefault="005776EE" w:rsidP="00A30EAA">
      <w:pPr>
        <w:pStyle w:val="Body"/>
      </w:pPr>
      <w:r>
        <w:t>An access request does not require any particular form. It need not use specific language or even refer to the Privacy Act.</w:t>
      </w:r>
      <w:r>
        <w:rPr>
          <w:rStyle w:val="FootnoteReference"/>
        </w:rPr>
        <w:footnoteReference w:id="158"/>
      </w:r>
      <w:r>
        <w:t xml:space="preserve"> Any request from an individual to see information you hold about them should be treated as a potential access request.</w:t>
      </w:r>
    </w:p>
    <w:p w14:paraId="306A0187" w14:textId="77777777" w:rsidR="005776EE" w:rsidRDefault="005776EE" w:rsidP="00A30EAA">
      <w:pPr>
        <w:pStyle w:val="Body"/>
      </w:pPr>
      <w:r>
        <w:t>Examples of requests that may constitute access requests:</w:t>
      </w:r>
    </w:p>
    <w:p w14:paraId="6DC95BED" w14:textId="49EEC3BE" w:rsidR="005776EE" w:rsidRDefault="005776EE" w:rsidP="00A30EAA">
      <w:pPr>
        <w:pStyle w:val="ListParagraph"/>
      </w:pPr>
      <w:r>
        <w:t>"</w:t>
      </w:r>
      <w:r w:rsidR="00F20F43">
        <w:t>You act for my ex-wife. I want to</w:t>
      </w:r>
      <w:r>
        <w:t xml:space="preserve"> see what information you have about </w:t>
      </w:r>
      <w:r w:rsidR="00F20F43">
        <w:t>my business</w:t>
      </w:r>
      <w:r>
        <w:t>"</w:t>
      </w:r>
    </w:p>
    <w:p w14:paraId="60D882AA" w14:textId="53D65CD0" w:rsidR="005776EE" w:rsidRDefault="005776EE" w:rsidP="00A30EAA">
      <w:pPr>
        <w:pStyle w:val="ListParagraph"/>
      </w:pPr>
      <w:r>
        <w:t>"I'd like a copy of my file."</w:t>
      </w:r>
    </w:p>
    <w:p w14:paraId="0B06197A" w14:textId="04A7F20F" w:rsidR="005776EE" w:rsidRDefault="005776EE" w:rsidP="00A30EAA">
      <w:pPr>
        <w:pStyle w:val="ListParagraph"/>
      </w:pPr>
      <w:r>
        <w:t>"What identity documents do you have on record for me?"</w:t>
      </w:r>
    </w:p>
    <w:p w14:paraId="205C0E3E" w14:textId="5C106CC8" w:rsidR="00410EEC" w:rsidRDefault="00410EEC" w:rsidP="00A30EAA">
      <w:pPr>
        <w:pStyle w:val="Body"/>
      </w:pPr>
      <w:r>
        <w:t xml:space="preserve">Important note: </w:t>
      </w:r>
      <w:r w:rsidR="00467B58">
        <w:t xml:space="preserve">If a client / former client requests a copy of their file they are entitled </w:t>
      </w:r>
      <w:r w:rsidR="00F35E18">
        <w:t xml:space="preserve">to elements of </w:t>
      </w:r>
      <w:r w:rsidR="00467B58">
        <w:t>this as of right.</w:t>
      </w:r>
      <w:r w:rsidR="00EE4F79">
        <w:rPr>
          <w:rStyle w:val="FootnoteReference"/>
        </w:rPr>
        <w:footnoteReference w:id="159"/>
      </w:r>
      <w:r w:rsidR="00EE4F79">
        <w:t xml:space="preserve"> Not everything on the file is the client’s property</w:t>
      </w:r>
      <w:r w:rsidR="006F5A27">
        <w:t>.</w:t>
      </w:r>
    </w:p>
    <w:p w14:paraId="040C20FC" w14:textId="0352F3B5" w:rsidR="005776EE" w:rsidRDefault="005776EE" w:rsidP="00A30EAA">
      <w:pPr>
        <w:pStyle w:val="Body"/>
      </w:pPr>
      <w:r>
        <w:t>Train staff to recognise access requests and escalate them to the Privacy Officer for handling.</w:t>
      </w:r>
    </w:p>
    <w:p w14:paraId="605A17D8" w14:textId="286A0611" w:rsidR="005776EE" w:rsidRDefault="005776EE" w:rsidP="00A30EAA">
      <w:pPr>
        <w:pStyle w:val="NumberedHeading2"/>
      </w:pPr>
      <w:bookmarkStart w:id="339" w:name="_Toc220069997"/>
      <w:bookmarkStart w:id="340" w:name="_Toc220655138"/>
      <w:bookmarkStart w:id="341" w:name="_Toc231895227"/>
      <w:r>
        <w:t>Process for Handling Access Requests</w:t>
      </w:r>
      <w:bookmarkEnd w:id="339"/>
      <w:bookmarkEnd w:id="340"/>
      <w:bookmarkEnd w:id="341"/>
    </w:p>
    <w:tbl>
      <w:tblPr>
        <w:tblW w:w="5000" w:type="pct"/>
        <w:tblCellMar>
          <w:left w:w="10" w:type="dxa"/>
          <w:right w:w="10" w:type="dxa"/>
        </w:tblCellMar>
        <w:tblLook w:val="0000" w:firstRow="0" w:lastRow="0" w:firstColumn="0" w:lastColumn="0" w:noHBand="0" w:noVBand="0"/>
      </w:tblPr>
      <w:tblGrid>
        <w:gridCol w:w="1200"/>
        <w:gridCol w:w="7826"/>
      </w:tblGrid>
      <w:tr w:rsidR="005776EE" w14:paraId="0025D0F4" w14:textId="77777777" w:rsidTr="00360D72">
        <w:tc>
          <w:tcPr>
            <w:tcW w:w="1200" w:type="dxa"/>
            <w:shd w:val="clear" w:color="auto" w:fill="0F2D52"/>
            <w:tcMar>
              <w:top w:w="100" w:type="dxa"/>
              <w:left w:w="120" w:type="dxa"/>
              <w:bottom w:w="100" w:type="dxa"/>
              <w:right w:w="120" w:type="dxa"/>
            </w:tcMar>
          </w:tcPr>
          <w:p w14:paraId="7B51B16D" w14:textId="77777777" w:rsidR="005776EE" w:rsidRPr="000618A7" w:rsidRDefault="005776EE" w:rsidP="0021322E">
            <w:pPr>
              <w:pStyle w:val="TableHeading"/>
            </w:pPr>
            <w:r w:rsidRPr="000618A7">
              <w:t>Step</w:t>
            </w:r>
          </w:p>
        </w:tc>
        <w:tc>
          <w:tcPr>
            <w:tcW w:w="7826" w:type="dxa"/>
            <w:shd w:val="clear" w:color="auto" w:fill="0F2D52"/>
            <w:tcMar>
              <w:top w:w="100" w:type="dxa"/>
              <w:left w:w="120" w:type="dxa"/>
              <w:bottom w:w="100" w:type="dxa"/>
              <w:right w:w="120" w:type="dxa"/>
            </w:tcMar>
          </w:tcPr>
          <w:p w14:paraId="08109B63" w14:textId="77777777" w:rsidR="005776EE" w:rsidRPr="000618A7" w:rsidRDefault="005776EE" w:rsidP="0021322E">
            <w:pPr>
              <w:pStyle w:val="TableHeading"/>
            </w:pPr>
            <w:r w:rsidRPr="000618A7">
              <w:t>Action</w:t>
            </w:r>
          </w:p>
        </w:tc>
      </w:tr>
      <w:tr w:rsidR="005776EE" w14:paraId="4F5677EB" w14:textId="77777777" w:rsidTr="00360D72">
        <w:tc>
          <w:tcPr>
            <w:tcW w:w="1200" w:type="dxa"/>
            <w:tcBorders>
              <w:bottom w:val="single" w:sz="4" w:space="0" w:color="auto"/>
            </w:tcBorders>
            <w:tcMar>
              <w:top w:w="100" w:type="dxa"/>
              <w:left w:w="120" w:type="dxa"/>
              <w:bottom w:w="100" w:type="dxa"/>
              <w:right w:w="120" w:type="dxa"/>
            </w:tcMar>
          </w:tcPr>
          <w:p w14:paraId="45CDC5A8" w14:textId="77777777" w:rsidR="005776EE" w:rsidRDefault="005776EE" w:rsidP="0021322E">
            <w:pPr>
              <w:pStyle w:val="Tablecontent"/>
            </w:pPr>
            <w:r>
              <w:t>1</w:t>
            </w:r>
          </w:p>
        </w:tc>
        <w:tc>
          <w:tcPr>
            <w:tcW w:w="7826" w:type="dxa"/>
            <w:tcBorders>
              <w:bottom w:val="single" w:sz="4" w:space="0" w:color="auto"/>
            </w:tcBorders>
            <w:tcMar>
              <w:top w:w="100" w:type="dxa"/>
              <w:left w:w="120" w:type="dxa"/>
              <w:bottom w:w="100" w:type="dxa"/>
              <w:right w:w="120" w:type="dxa"/>
            </w:tcMar>
          </w:tcPr>
          <w:p w14:paraId="02248D89" w14:textId="474649B8" w:rsidR="005776EE" w:rsidRDefault="005776EE" w:rsidP="0021322E">
            <w:pPr>
              <w:pStyle w:val="Tablecontent"/>
            </w:pPr>
            <w:r>
              <w:t>Acknowledge receipt: Confirm receipt of the request and provide an expected timeframe for response (30 days is the OAIC benchmark</w:t>
            </w:r>
            <w:r w:rsidR="007205D1">
              <w:rPr>
                <w:rStyle w:val="FootnoteReference"/>
              </w:rPr>
              <w:footnoteReference w:id="160"/>
            </w:r>
            <w:r>
              <w:t>).</w:t>
            </w:r>
          </w:p>
        </w:tc>
      </w:tr>
      <w:tr w:rsidR="005776EE" w14:paraId="56A98B10" w14:textId="77777777" w:rsidTr="00360D72">
        <w:tc>
          <w:tcPr>
            <w:tcW w:w="1200" w:type="dxa"/>
            <w:tcBorders>
              <w:top w:val="single" w:sz="4" w:space="0" w:color="auto"/>
              <w:bottom w:val="single" w:sz="4" w:space="0" w:color="auto"/>
            </w:tcBorders>
            <w:tcMar>
              <w:top w:w="100" w:type="dxa"/>
              <w:left w:w="120" w:type="dxa"/>
              <w:bottom w:w="100" w:type="dxa"/>
              <w:right w:w="120" w:type="dxa"/>
            </w:tcMar>
          </w:tcPr>
          <w:p w14:paraId="43434039" w14:textId="77777777" w:rsidR="005776EE" w:rsidRDefault="005776EE" w:rsidP="0021322E">
            <w:pPr>
              <w:pStyle w:val="Tablecontent"/>
            </w:pPr>
            <w:r>
              <w:t>2</w:t>
            </w:r>
          </w:p>
        </w:tc>
        <w:tc>
          <w:tcPr>
            <w:tcW w:w="7826" w:type="dxa"/>
            <w:tcBorders>
              <w:top w:val="single" w:sz="4" w:space="0" w:color="auto"/>
              <w:bottom w:val="single" w:sz="4" w:space="0" w:color="auto"/>
            </w:tcBorders>
            <w:tcMar>
              <w:top w:w="100" w:type="dxa"/>
              <w:left w:w="120" w:type="dxa"/>
              <w:bottom w:w="100" w:type="dxa"/>
              <w:right w:w="120" w:type="dxa"/>
            </w:tcMar>
          </w:tcPr>
          <w:p w14:paraId="0603B0FD" w14:textId="77777777" w:rsidR="005776EE" w:rsidRDefault="005776EE" w:rsidP="0021322E">
            <w:pPr>
              <w:pStyle w:val="Tablecontent"/>
            </w:pPr>
            <w:r>
              <w:t>Verify identity: Before providing access, verify that the requester is the individual to whom the information relates (or their authorised representative).</w:t>
            </w:r>
          </w:p>
        </w:tc>
      </w:tr>
      <w:tr w:rsidR="005776EE" w14:paraId="444DA03F" w14:textId="77777777" w:rsidTr="00360D72">
        <w:tc>
          <w:tcPr>
            <w:tcW w:w="1200" w:type="dxa"/>
            <w:tcBorders>
              <w:top w:val="single" w:sz="4" w:space="0" w:color="auto"/>
              <w:bottom w:val="single" w:sz="4" w:space="0" w:color="auto"/>
            </w:tcBorders>
            <w:tcMar>
              <w:top w:w="100" w:type="dxa"/>
              <w:left w:w="120" w:type="dxa"/>
              <w:bottom w:w="100" w:type="dxa"/>
              <w:right w:w="120" w:type="dxa"/>
            </w:tcMar>
          </w:tcPr>
          <w:p w14:paraId="4148C4A5" w14:textId="77777777" w:rsidR="005776EE" w:rsidRDefault="005776EE" w:rsidP="0021322E">
            <w:pPr>
              <w:pStyle w:val="Tablecontent"/>
            </w:pPr>
            <w:r>
              <w:t>3</w:t>
            </w:r>
          </w:p>
        </w:tc>
        <w:tc>
          <w:tcPr>
            <w:tcW w:w="7826" w:type="dxa"/>
            <w:tcBorders>
              <w:top w:val="single" w:sz="4" w:space="0" w:color="auto"/>
              <w:bottom w:val="single" w:sz="4" w:space="0" w:color="auto"/>
            </w:tcBorders>
            <w:tcMar>
              <w:top w:w="100" w:type="dxa"/>
              <w:left w:w="120" w:type="dxa"/>
              <w:bottom w:w="100" w:type="dxa"/>
              <w:right w:w="120" w:type="dxa"/>
            </w:tcMar>
          </w:tcPr>
          <w:p w14:paraId="1FACD3FF" w14:textId="77777777" w:rsidR="005776EE" w:rsidRDefault="005776EE" w:rsidP="0021322E">
            <w:pPr>
              <w:pStyle w:val="Tablecontent"/>
            </w:pPr>
            <w:r>
              <w:t>Locate information: Search relevant systems and files to identify all personal information held about the individual.</w:t>
            </w:r>
          </w:p>
        </w:tc>
      </w:tr>
      <w:tr w:rsidR="005776EE" w14:paraId="562E0233" w14:textId="77777777" w:rsidTr="00360D72">
        <w:tc>
          <w:tcPr>
            <w:tcW w:w="1200" w:type="dxa"/>
            <w:tcBorders>
              <w:top w:val="single" w:sz="4" w:space="0" w:color="auto"/>
              <w:bottom w:val="single" w:sz="4" w:space="0" w:color="auto"/>
            </w:tcBorders>
            <w:tcMar>
              <w:top w:w="100" w:type="dxa"/>
              <w:left w:w="120" w:type="dxa"/>
              <w:bottom w:w="100" w:type="dxa"/>
              <w:right w:w="120" w:type="dxa"/>
            </w:tcMar>
          </w:tcPr>
          <w:p w14:paraId="71097D15" w14:textId="77777777" w:rsidR="005776EE" w:rsidRDefault="005776EE" w:rsidP="0021322E">
            <w:pPr>
              <w:pStyle w:val="Tablecontent"/>
            </w:pPr>
            <w:r>
              <w:t>4</w:t>
            </w:r>
          </w:p>
        </w:tc>
        <w:tc>
          <w:tcPr>
            <w:tcW w:w="7826" w:type="dxa"/>
            <w:tcBorders>
              <w:top w:val="single" w:sz="4" w:space="0" w:color="auto"/>
              <w:bottom w:val="single" w:sz="4" w:space="0" w:color="auto"/>
            </w:tcBorders>
            <w:tcMar>
              <w:top w:w="100" w:type="dxa"/>
              <w:left w:w="120" w:type="dxa"/>
              <w:bottom w:w="100" w:type="dxa"/>
              <w:right w:w="120" w:type="dxa"/>
            </w:tcMar>
          </w:tcPr>
          <w:p w14:paraId="1410738F" w14:textId="77777777" w:rsidR="005776EE" w:rsidRDefault="005776EE" w:rsidP="0021322E">
            <w:pPr>
              <w:pStyle w:val="Tablecontent"/>
            </w:pPr>
            <w:r>
              <w:t>Review for exceptions: Assess whether any exceptions to access apply (see section 16.3). If exceptions apply, consider whether partial access can be provided.</w:t>
            </w:r>
          </w:p>
        </w:tc>
      </w:tr>
      <w:tr w:rsidR="005776EE" w14:paraId="7F0AB37A" w14:textId="77777777" w:rsidTr="00360D72">
        <w:tc>
          <w:tcPr>
            <w:tcW w:w="1200" w:type="dxa"/>
            <w:tcBorders>
              <w:top w:val="single" w:sz="4" w:space="0" w:color="auto"/>
              <w:bottom w:val="single" w:sz="4" w:space="0" w:color="auto"/>
            </w:tcBorders>
            <w:tcMar>
              <w:top w:w="100" w:type="dxa"/>
              <w:left w:w="120" w:type="dxa"/>
              <w:bottom w:w="100" w:type="dxa"/>
              <w:right w:w="120" w:type="dxa"/>
            </w:tcMar>
          </w:tcPr>
          <w:p w14:paraId="3E1742C8" w14:textId="77777777" w:rsidR="005776EE" w:rsidRDefault="005776EE" w:rsidP="0021322E">
            <w:pPr>
              <w:pStyle w:val="Tablecontent"/>
            </w:pPr>
            <w:r>
              <w:t>5</w:t>
            </w:r>
          </w:p>
        </w:tc>
        <w:tc>
          <w:tcPr>
            <w:tcW w:w="7826" w:type="dxa"/>
            <w:tcBorders>
              <w:top w:val="single" w:sz="4" w:space="0" w:color="auto"/>
              <w:bottom w:val="single" w:sz="4" w:space="0" w:color="auto"/>
            </w:tcBorders>
            <w:tcMar>
              <w:top w:w="100" w:type="dxa"/>
              <w:left w:w="120" w:type="dxa"/>
              <w:bottom w:w="100" w:type="dxa"/>
              <w:right w:w="120" w:type="dxa"/>
            </w:tcMar>
          </w:tcPr>
          <w:p w14:paraId="1D69CDD9" w14:textId="77777777" w:rsidR="005776EE" w:rsidRDefault="005776EE" w:rsidP="0021322E">
            <w:pPr>
              <w:pStyle w:val="Tablecontent"/>
            </w:pPr>
            <w:r>
              <w:t>Prepare response: Compile the information for disclosure, redacting any information subject to exceptions or relating to other individuals.</w:t>
            </w:r>
          </w:p>
        </w:tc>
      </w:tr>
      <w:tr w:rsidR="005776EE" w14:paraId="63AD5FE4" w14:textId="77777777" w:rsidTr="00360D72">
        <w:tc>
          <w:tcPr>
            <w:tcW w:w="1200" w:type="dxa"/>
            <w:tcBorders>
              <w:top w:val="single" w:sz="4" w:space="0" w:color="auto"/>
              <w:bottom w:val="single" w:sz="4" w:space="0" w:color="auto"/>
            </w:tcBorders>
            <w:tcMar>
              <w:top w:w="100" w:type="dxa"/>
              <w:left w:w="120" w:type="dxa"/>
              <w:bottom w:w="100" w:type="dxa"/>
              <w:right w:w="120" w:type="dxa"/>
            </w:tcMar>
          </w:tcPr>
          <w:p w14:paraId="5894519F" w14:textId="77777777" w:rsidR="005776EE" w:rsidRDefault="005776EE" w:rsidP="0021322E">
            <w:pPr>
              <w:pStyle w:val="Tablecontent"/>
            </w:pPr>
            <w:r>
              <w:t>6</w:t>
            </w:r>
          </w:p>
        </w:tc>
        <w:tc>
          <w:tcPr>
            <w:tcW w:w="7826" w:type="dxa"/>
            <w:tcBorders>
              <w:top w:val="single" w:sz="4" w:space="0" w:color="auto"/>
              <w:bottom w:val="single" w:sz="4" w:space="0" w:color="auto"/>
            </w:tcBorders>
            <w:tcMar>
              <w:top w:w="100" w:type="dxa"/>
              <w:left w:w="120" w:type="dxa"/>
              <w:bottom w:w="100" w:type="dxa"/>
              <w:right w:w="120" w:type="dxa"/>
            </w:tcMar>
          </w:tcPr>
          <w:p w14:paraId="4D0C15CE" w14:textId="77777777" w:rsidR="005776EE" w:rsidRDefault="005776EE" w:rsidP="0021322E">
            <w:pPr>
              <w:pStyle w:val="Tablecontent"/>
            </w:pPr>
            <w:r>
              <w:t>Provide access: Provide access in the manner requested (if reasonable) or an alternative manner. If refusing access, provide written reasons.</w:t>
            </w:r>
          </w:p>
        </w:tc>
      </w:tr>
      <w:tr w:rsidR="005776EE" w14:paraId="4DF424CF" w14:textId="77777777" w:rsidTr="00360D72">
        <w:tc>
          <w:tcPr>
            <w:tcW w:w="1200" w:type="dxa"/>
            <w:tcBorders>
              <w:top w:val="single" w:sz="4" w:space="0" w:color="auto"/>
              <w:bottom w:val="single" w:sz="4" w:space="0" w:color="auto"/>
            </w:tcBorders>
            <w:tcMar>
              <w:top w:w="100" w:type="dxa"/>
              <w:left w:w="120" w:type="dxa"/>
              <w:bottom w:w="100" w:type="dxa"/>
              <w:right w:w="120" w:type="dxa"/>
            </w:tcMar>
          </w:tcPr>
          <w:p w14:paraId="0D44A8CA" w14:textId="77777777" w:rsidR="005776EE" w:rsidRDefault="005776EE" w:rsidP="0021322E">
            <w:pPr>
              <w:pStyle w:val="Tablecontent"/>
            </w:pPr>
            <w:r>
              <w:t>7</w:t>
            </w:r>
          </w:p>
        </w:tc>
        <w:tc>
          <w:tcPr>
            <w:tcW w:w="7826" w:type="dxa"/>
            <w:tcBorders>
              <w:top w:val="single" w:sz="4" w:space="0" w:color="auto"/>
              <w:bottom w:val="single" w:sz="4" w:space="0" w:color="auto"/>
            </w:tcBorders>
            <w:tcMar>
              <w:top w:w="100" w:type="dxa"/>
              <w:left w:w="120" w:type="dxa"/>
              <w:bottom w:w="100" w:type="dxa"/>
              <w:right w:w="120" w:type="dxa"/>
            </w:tcMar>
          </w:tcPr>
          <w:p w14:paraId="1E0C03A2" w14:textId="77777777" w:rsidR="005776EE" w:rsidRDefault="005776EE" w:rsidP="0021322E">
            <w:pPr>
              <w:pStyle w:val="Tablecontent"/>
            </w:pPr>
            <w:r>
              <w:t>Document: Record the request, your assessment, and the response for compliance purposes.</w:t>
            </w:r>
          </w:p>
        </w:tc>
      </w:tr>
    </w:tbl>
    <w:p w14:paraId="1CF3B47F" w14:textId="77777777" w:rsidR="004D1E21" w:rsidRDefault="004D1E21" w:rsidP="008547F6">
      <w:pPr>
        <w:pStyle w:val="Heading2"/>
      </w:pPr>
      <w:bookmarkStart w:id="342" w:name="_Toc220069998"/>
      <w:bookmarkStart w:id="343" w:name="_Toc220655139"/>
    </w:p>
    <w:p w14:paraId="1E36A0E2" w14:textId="77777777" w:rsidR="004D1E21" w:rsidRDefault="004D1E21">
      <w:pPr>
        <w:spacing w:after="0"/>
        <w:rPr>
          <w:b/>
          <w:bCs/>
          <w:iCs/>
          <w:color w:val="0F2D52"/>
          <w:sz w:val="28"/>
          <w:szCs w:val="28"/>
        </w:rPr>
      </w:pPr>
      <w:r>
        <w:br w:type="page"/>
      </w:r>
    </w:p>
    <w:p w14:paraId="1B38A6F6" w14:textId="74A267BA" w:rsidR="005776EE" w:rsidRDefault="005776EE" w:rsidP="00A30EAA">
      <w:pPr>
        <w:pStyle w:val="NumberedHeading2"/>
      </w:pPr>
      <w:bookmarkStart w:id="344" w:name="_Toc231895228"/>
      <w:r>
        <w:lastRenderedPageBreak/>
        <w:t>Exceptions to Access — Key Exceptions for Law Firms</w:t>
      </w:r>
      <w:bookmarkEnd w:id="342"/>
      <w:bookmarkEnd w:id="343"/>
      <w:bookmarkEnd w:id="344"/>
    </w:p>
    <w:p w14:paraId="6769FC36" w14:textId="77777777" w:rsidR="005776EE" w:rsidRDefault="005776EE" w:rsidP="00A30EAA">
      <w:pPr>
        <w:pStyle w:val="Body"/>
      </w:pPr>
      <w:r>
        <w:t>APP 12.3 sets out exceptions that permit refusal of access.</w:t>
      </w:r>
      <w:r>
        <w:rPr>
          <w:rStyle w:val="FootnoteReference"/>
        </w:rPr>
        <w:footnoteReference w:id="161"/>
      </w:r>
      <w:r>
        <w:t xml:space="preserve"> The following exceptions are particularly relevant to law firms:</w:t>
      </w:r>
    </w:p>
    <w:tbl>
      <w:tblPr>
        <w:tblW w:w="5000" w:type="pct"/>
        <w:tblCellMar>
          <w:left w:w="10" w:type="dxa"/>
          <w:right w:w="10" w:type="dxa"/>
        </w:tblCellMar>
        <w:tblLook w:val="0000" w:firstRow="0" w:lastRow="0" w:firstColumn="0" w:lastColumn="0" w:noHBand="0" w:noVBand="0"/>
      </w:tblPr>
      <w:tblGrid>
        <w:gridCol w:w="2800"/>
        <w:gridCol w:w="6226"/>
      </w:tblGrid>
      <w:tr w:rsidR="005776EE" w14:paraId="6A3A254D" w14:textId="77777777" w:rsidTr="00360D72">
        <w:tc>
          <w:tcPr>
            <w:tcW w:w="2800" w:type="dxa"/>
            <w:shd w:val="clear" w:color="auto" w:fill="0F2D52"/>
            <w:tcMar>
              <w:top w:w="100" w:type="dxa"/>
              <w:left w:w="120" w:type="dxa"/>
              <w:bottom w:w="100" w:type="dxa"/>
              <w:right w:w="120" w:type="dxa"/>
            </w:tcMar>
          </w:tcPr>
          <w:p w14:paraId="67FDA371" w14:textId="77777777" w:rsidR="005776EE" w:rsidRPr="00A00843" w:rsidRDefault="005776EE" w:rsidP="00F06623">
            <w:pPr>
              <w:pStyle w:val="TableHeading"/>
            </w:pPr>
            <w:r w:rsidRPr="00A00843">
              <w:t>Exception</w:t>
            </w:r>
          </w:p>
        </w:tc>
        <w:tc>
          <w:tcPr>
            <w:tcW w:w="6226" w:type="dxa"/>
            <w:shd w:val="clear" w:color="auto" w:fill="0F2D52"/>
            <w:tcMar>
              <w:top w:w="100" w:type="dxa"/>
              <w:left w:w="120" w:type="dxa"/>
              <w:bottom w:w="100" w:type="dxa"/>
              <w:right w:w="120" w:type="dxa"/>
            </w:tcMar>
          </w:tcPr>
          <w:p w14:paraId="0874219C" w14:textId="77777777" w:rsidR="005776EE" w:rsidRPr="00A00843" w:rsidRDefault="005776EE" w:rsidP="00F06623">
            <w:pPr>
              <w:pStyle w:val="TableHeading"/>
            </w:pPr>
            <w:r w:rsidRPr="00A00843">
              <w:t>Application to Law Firms</w:t>
            </w:r>
          </w:p>
        </w:tc>
      </w:tr>
      <w:tr w:rsidR="005776EE" w14:paraId="283787E3" w14:textId="77777777" w:rsidTr="00360D72">
        <w:tc>
          <w:tcPr>
            <w:tcW w:w="2800" w:type="dxa"/>
            <w:tcBorders>
              <w:bottom w:val="single" w:sz="4" w:space="0" w:color="auto"/>
            </w:tcBorders>
            <w:tcMar>
              <w:top w:w="100" w:type="dxa"/>
              <w:left w:w="120" w:type="dxa"/>
              <w:bottom w:w="100" w:type="dxa"/>
              <w:right w:w="120" w:type="dxa"/>
            </w:tcMar>
          </w:tcPr>
          <w:p w14:paraId="53B5EDB0" w14:textId="77777777" w:rsidR="005776EE" w:rsidRDefault="005776EE" w:rsidP="00F06623">
            <w:pPr>
              <w:pStyle w:val="Tablecontent"/>
            </w:pPr>
            <w:r>
              <w:t>Legal professional privilege (APP 12.3(b))</w:t>
            </w:r>
          </w:p>
        </w:tc>
        <w:tc>
          <w:tcPr>
            <w:tcW w:w="6226" w:type="dxa"/>
            <w:tcBorders>
              <w:bottom w:val="single" w:sz="4" w:space="0" w:color="auto"/>
            </w:tcBorders>
            <w:tcMar>
              <w:top w:w="100" w:type="dxa"/>
              <w:left w:w="120" w:type="dxa"/>
              <w:bottom w:w="100" w:type="dxa"/>
              <w:right w:w="120" w:type="dxa"/>
            </w:tcMar>
          </w:tcPr>
          <w:p w14:paraId="3091CFF8" w14:textId="77777777" w:rsidR="00024E05" w:rsidRDefault="005776EE" w:rsidP="00F06623">
            <w:pPr>
              <w:pStyle w:val="Tablecontent"/>
            </w:pPr>
            <w:r>
              <w:t xml:space="preserve">Access may be refused where giving access would reveal information to which a claim of legal professional privilege applies. </w:t>
            </w:r>
          </w:p>
          <w:p w14:paraId="056C564D" w14:textId="0E2A5CFE" w:rsidR="005776EE" w:rsidRDefault="005776EE" w:rsidP="00F06623">
            <w:pPr>
              <w:pStyle w:val="Tablecontent"/>
            </w:pPr>
            <w:r>
              <w:t xml:space="preserve">The privilege belongs to the client — if the individual requesting access is the client, </w:t>
            </w:r>
            <w:r w:rsidR="00024E05">
              <w:t>questions of privilege do not arise</w:t>
            </w:r>
            <w:r>
              <w:t xml:space="preserve">; if the individual is a third party, privilege </w:t>
            </w:r>
            <w:r w:rsidR="00CB2EDB">
              <w:t>may protect</w:t>
            </w:r>
            <w:r>
              <w:t xml:space="preserve"> the information.</w:t>
            </w:r>
          </w:p>
        </w:tc>
      </w:tr>
      <w:tr w:rsidR="005776EE" w14:paraId="3EF97E95" w14:textId="77777777" w:rsidTr="00360D72">
        <w:tc>
          <w:tcPr>
            <w:tcW w:w="2800" w:type="dxa"/>
            <w:tcBorders>
              <w:top w:val="single" w:sz="4" w:space="0" w:color="auto"/>
              <w:bottom w:val="single" w:sz="4" w:space="0" w:color="auto"/>
            </w:tcBorders>
            <w:tcMar>
              <w:top w:w="100" w:type="dxa"/>
              <w:left w:w="120" w:type="dxa"/>
              <w:bottom w:w="100" w:type="dxa"/>
              <w:right w:w="120" w:type="dxa"/>
            </w:tcMar>
          </w:tcPr>
          <w:p w14:paraId="7564E6FA" w14:textId="77777777" w:rsidR="005776EE" w:rsidRDefault="005776EE" w:rsidP="00F06623">
            <w:pPr>
              <w:pStyle w:val="Tablecontent"/>
            </w:pPr>
            <w:r>
              <w:t>Enforcement activities (APP 12.3(c))</w:t>
            </w:r>
          </w:p>
        </w:tc>
        <w:tc>
          <w:tcPr>
            <w:tcW w:w="6226" w:type="dxa"/>
            <w:tcBorders>
              <w:top w:val="single" w:sz="4" w:space="0" w:color="auto"/>
              <w:bottom w:val="single" w:sz="4" w:space="0" w:color="auto"/>
            </w:tcBorders>
            <w:tcMar>
              <w:top w:w="100" w:type="dxa"/>
              <w:left w:w="120" w:type="dxa"/>
              <w:bottom w:w="100" w:type="dxa"/>
              <w:right w:w="120" w:type="dxa"/>
            </w:tcMar>
          </w:tcPr>
          <w:p w14:paraId="3AFE0B04" w14:textId="1CD2D65F" w:rsidR="005776EE" w:rsidRDefault="005776EE" w:rsidP="00F06623">
            <w:pPr>
              <w:pStyle w:val="Tablecontent"/>
            </w:pPr>
            <w:r>
              <w:t xml:space="preserve">Access may be refused where giving access would prejudice enforcement-related activities conducted by an </w:t>
            </w:r>
            <w:hyperlink r:id="rId21" w:history="1">
              <w:r w:rsidRPr="0064298F">
                <w:rPr>
                  <w:rStyle w:val="Hyperlink"/>
                </w:rPr>
                <w:t>enforcement body</w:t>
              </w:r>
            </w:hyperlink>
            <w:r>
              <w:t>. This may be relevant where information relates to suspected fraud or criminal conduct that has been reported to police or regulators.</w:t>
            </w:r>
          </w:p>
        </w:tc>
      </w:tr>
      <w:tr w:rsidR="005776EE" w14:paraId="470B7052" w14:textId="77777777" w:rsidTr="00360D72">
        <w:tc>
          <w:tcPr>
            <w:tcW w:w="2800" w:type="dxa"/>
            <w:tcBorders>
              <w:top w:val="single" w:sz="4" w:space="0" w:color="auto"/>
              <w:bottom w:val="single" w:sz="4" w:space="0" w:color="auto"/>
            </w:tcBorders>
            <w:tcMar>
              <w:top w:w="100" w:type="dxa"/>
              <w:left w:w="120" w:type="dxa"/>
              <w:bottom w:w="100" w:type="dxa"/>
              <w:right w:w="120" w:type="dxa"/>
            </w:tcMar>
          </w:tcPr>
          <w:p w14:paraId="0479E3B6" w14:textId="77777777" w:rsidR="005776EE" w:rsidRDefault="005776EE" w:rsidP="00F06623">
            <w:pPr>
              <w:pStyle w:val="Tablecontent"/>
            </w:pPr>
            <w:r>
              <w:t>Privacy of others (APP 12.3(g))</w:t>
            </w:r>
          </w:p>
        </w:tc>
        <w:tc>
          <w:tcPr>
            <w:tcW w:w="6226" w:type="dxa"/>
            <w:tcBorders>
              <w:top w:val="single" w:sz="4" w:space="0" w:color="auto"/>
              <w:bottom w:val="single" w:sz="4" w:space="0" w:color="auto"/>
            </w:tcBorders>
            <w:tcMar>
              <w:top w:w="100" w:type="dxa"/>
              <w:left w:w="120" w:type="dxa"/>
              <w:bottom w:w="100" w:type="dxa"/>
              <w:right w:w="120" w:type="dxa"/>
            </w:tcMar>
          </w:tcPr>
          <w:p w14:paraId="53217ED4" w14:textId="27C33309" w:rsidR="005776EE" w:rsidRDefault="005776EE" w:rsidP="00F06623">
            <w:pPr>
              <w:pStyle w:val="Tablecontent"/>
            </w:pPr>
            <w:r>
              <w:t>Access may be refused where giving access would have an unreasonable impact on the privacy of other individuals.</w:t>
            </w:r>
          </w:p>
        </w:tc>
      </w:tr>
      <w:tr w:rsidR="005776EE" w14:paraId="7D4E3AE6" w14:textId="77777777" w:rsidTr="00360D72">
        <w:tc>
          <w:tcPr>
            <w:tcW w:w="2800" w:type="dxa"/>
            <w:tcBorders>
              <w:top w:val="single" w:sz="4" w:space="0" w:color="auto"/>
              <w:bottom w:val="single" w:sz="4" w:space="0" w:color="auto"/>
            </w:tcBorders>
            <w:tcMar>
              <w:top w:w="100" w:type="dxa"/>
              <w:left w:w="120" w:type="dxa"/>
              <w:bottom w:w="100" w:type="dxa"/>
              <w:right w:w="120" w:type="dxa"/>
            </w:tcMar>
          </w:tcPr>
          <w:p w14:paraId="1CE0C372" w14:textId="77777777" w:rsidR="005776EE" w:rsidRDefault="005776EE" w:rsidP="00F06623">
            <w:pPr>
              <w:pStyle w:val="Tablecontent"/>
            </w:pPr>
            <w:r>
              <w:t>Legal proceedings (APP 12.3(d)-(e))</w:t>
            </w:r>
          </w:p>
        </w:tc>
        <w:tc>
          <w:tcPr>
            <w:tcW w:w="6226" w:type="dxa"/>
            <w:tcBorders>
              <w:top w:val="single" w:sz="4" w:space="0" w:color="auto"/>
              <w:bottom w:val="single" w:sz="4" w:space="0" w:color="auto"/>
            </w:tcBorders>
            <w:tcMar>
              <w:top w:w="100" w:type="dxa"/>
              <w:left w:w="120" w:type="dxa"/>
              <w:bottom w:w="100" w:type="dxa"/>
              <w:right w:w="120" w:type="dxa"/>
            </w:tcMar>
          </w:tcPr>
          <w:p w14:paraId="75B6B517" w14:textId="77777777" w:rsidR="005776EE" w:rsidRDefault="005776EE" w:rsidP="00F06623">
            <w:pPr>
              <w:pStyle w:val="Tablecontent"/>
            </w:pPr>
            <w:r>
              <w:t>Access may be refused where information relates to existing or anticipated legal proceedings and would not be accessible by way of discovery, or where giving access would prejudice negotiations with the individual.</w:t>
            </w:r>
          </w:p>
        </w:tc>
      </w:tr>
      <w:tr w:rsidR="005776EE" w14:paraId="4558F307" w14:textId="77777777" w:rsidTr="00360D72">
        <w:tc>
          <w:tcPr>
            <w:tcW w:w="2800" w:type="dxa"/>
            <w:tcBorders>
              <w:top w:val="single" w:sz="4" w:space="0" w:color="auto"/>
              <w:bottom w:val="single" w:sz="4" w:space="0" w:color="auto"/>
            </w:tcBorders>
            <w:tcMar>
              <w:top w:w="100" w:type="dxa"/>
              <w:left w:w="120" w:type="dxa"/>
              <w:bottom w:w="100" w:type="dxa"/>
              <w:right w:w="120" w:type="dxa"/>
            </w:tcMar>
          </w:tcPr>
          <w:p w14:paraId="3D367A06" w14:textId="77777777" w:rsidR="005776EE" w:rsidRDefault="005776EE" w:rsidP="00F06623">
            <w:pPr>
              <w:pStyle w:val="Tablecontent"/>
            </w:pPr>
            <w:r>
              <w:t>Commercially sensitive decision-making (APP 12.3(h))</w:t>
            </w:r>
          </w:p>
        </w:tc>
        <w:tc>
          <w:tcPr>
            <w:tcW w:w="6226" w:type="dxa"/>
            <w:tcBorders>
              <w:top w:val="single" w:sz="4" w:space="0" w:color="auto"/>
              <w:bottom w:val="single" w:sz="4" w:space="0" w:color="auto"/>
            </w:tcBorders>
            <w:tcMar>
              <w:top w:w="100" w:type="dxa"/>
              <w:left w:w="120" w:type="dxa"/>
              <w:bottom w:w="100" w:type="dxa"/>
              <w:right w:w="120" w:type="dxa"/>
            </w:tcMar>
          </w:tcPr>
          <w:p w14:paraId="6DF40461" w14:textId="2AD3617C" w:rsidR="005776EE" w:rsidRDefault="005776EE" w:rsidP="00F06623">
            <w:pPr>
              <w:pStyle w:val="Tablecontent"/>
            </w:pPr>
            <w:r>
              <w:t>Access may be refused where giving access would reveal evaluative information in connection with a commercially sensitive decision-making process.</w:t>
            </w:r>
          </w:p>
        </w:tc>
      </w:tr>
    </w:tbl>
    <w:p w14:paraId="67E378CB" w14:textId="77777777" w:rsidR="005776EE" w:rsidRDefault="005776EE" w:rsidP="00A30EAA">
      <w:pPr>
        <w:pStyle w:val="Body"/>
      </w:pPr>
      <w:r>
        <w:t>Where an exception applies to part of the information, consider whether partial access can be provided — that is, access to the information not subject to the exception.</w:t>
      </w:r>
      <w:r>
        <w:rPr>
          <w:rStyle w:val="FootnoteReference"/>
        </w:rPr>
        <w:footnoteReference w:id="162"/>
      </w:r>
    </w:p>
    <w:p w14:paraId="1C9DEAA0" w14:textId="6B364DE1" w:rsidR="005776EE" w:rsidRDefault="005776EE" w:rsidP="00A30EAA">
      <w:pPr>
        <w:pStyle w:val="NumberedHeading2"/>
      </w:pPr>
      <w:bookmarkStart w:id="345" w:name="_Toc220069999"/>
      <w:bookmarkStart w:id="346" w:name="_Toc220655140"/>
      <w:bookmarkStart w:id="347" w:name="_Toc231895229"/>
      <w:r>
        <w:t>Refusing Access</w:t>
      </w:r>
      <w:bookmarkEnd w:id="345"/>
      <w:bookmarkEnd w:id="346"/>
      <w:bookmarkEnd w:id="347"/>
    </w:p>
    <w:p w14:paraId="713ECA1F" w14:textId="77777777" w:rsidR="005776EE" w:rsidRDefault="005776EE" w:rsidP="00A30EAA">
      <w:pPr>
        <w:pStyle w:val="Body"/>
      </w:pPr>
      <w:r>
        <w:t>If access is refused (in whole or in part), the firm must give the individual a written notice that:</w:t>
      </w:r>
      <w:r>
        <w:rPr>
          <w:rStyle w:val="FootnoteReference"/>
        </w:rPr>
        <w:footnoteReference w:id="163"/>
      </w:r>
    </w:p>
    <w:p w14:paraId="10DD0AD7" w14:textId="21DB036C" w:rsidR="005776EE" w:rsidRDefault="005776EE" w:rsidP="00A30EAA">
      <w:pPr>
        <w:pStyle w:val="ListParagraph"/>
      </w:pPr>
      <w:r>
        <w:t>states the reasons for the refusal (except where stating reasons would itself undermine the exception);</w:t>
      </w:r>
    </w:p>
    <w:p w14:paraId="0AF58C16" w14:textId="636FB726" w:rsidR="005776EE" w:rsidRDefault="005776EE" w:rsidP="00A30EAA">
      <w:pPr>
        <w:pStyle w:val="ListParagraph"/>
      </w:pPr>
      <w:r>
        <w:t>sets out the mechanisms available to complain about the refusal (internal complaint process and the OAIC).</w:t>
      </w:r>
    </w:p>
    <w:p w14:paraId="533AF98E" w14:textId="77777777" w:rsidR="004D1E21" w:rsidRDefault="004D1E21">
      <w:pPr>
        <w:spacing w:after="0"/>
        <w:rPr>
          <w:b/>
          <w:bCs/>
          <w:iCs/>
          <w:color w:val="0F2D52"/>
          <w:sz w:val="28"/>
          <w:szCs w:val="28"/>
        </w:rPr>
      </w:pPr>
      <w:bookmarkStart w:id="348" w:name="_Toc220070000"/>
      <w:bookmarkStart w:id="349" w:name="_Toc220655141"/>
      <w:r>
        <w:br w:type="page"/>
      </w:r>
    </w:p>
    <w:p w14:paraId="090BE164" w14:textId="51CCEA63" w:rsidR="005776EE" w:rsidRDefault="005776EE" w:rsidP="00A30EAA">
      <w:pPr>
        <w:pStyle w:val="NumberedHeading2"/>
      </w:pPr>
      <w:bookmarkStart w:id="350" w:name="_Toc231895230"/>
      <w:r>
        <w:lastRenderedPageBreak/>
        <w:t>Handling Correction Requests</w:t>
      </w:r>
      <w:bookmarkEnd w:id="348"/>
      <w:bookmarkEnd w:id="349"/>
      <w:bookmarkEnd w:id="350"/>
    </w:p>
    <w:p w14:paraId="27D2720D" w14:textId="77777777" w:rsidR="005776EE" w:rsidRDefault="005776EE" w:rsidP="00A30EAA">
      <w:pPr>
        <w:pStyle w:val="Body"/>
      </w:pPr>
      <w:r>
        <w:t>APP 13 requires entities to take reasonable steps to correct personal information that is inaccurate, out-of-date, incomplete, irrelevant or misleading, having regard to the purpose for which it is held.</w:t>
      </w:r>
      <w:r>
        <w:rPr>
          <w:rStyle w:val="FootnoteReference"/>
        </w:rPr>
        <w:footnoteReference w:id="164"/>
      </w:r>
    </w:p>
    <w:p w14:paraId="4F6E2374" w14:textId="77777777" w:rsidR="005776EE" w:rsidRDefault="005776EE" w:rsidP="00A30EAA">
      <w:pPr>
        <w:pStyle w:val="Body"/>
      </w:pPr>
      <w:r>
        <w:t>When handling correction requests:</w:t>
      </w:r>
    </w:p>
    <w:p w14:paraId="4F5304F6" w14:textId="2A8C5B18" w:rsidR="005776EE" w:rsidRDefault="005776EE" w:rsidP="00F06623">
      <w:pPr>
        <w:pStyle w:val="ListNumber"/>
        <w:numPr>
          <w:ilvl w:val="0"/>
          <w:numId w:val="30"/>
        </w:numPr>
      </w:pPr>
      <w:r w:rsidRPr="00F06623">
        <w:rPr>
          <w:b/>
          <w:bCs/>
        </w:rPr>
        <w:t xml:space="preserve">Assess the request: </w:t>
      </w:r>
      <w:r>
        <w:t>Is the current information actually inaccurate, out-of-date, incomplete, irrelevant or misleading? Consider the purpose for which the information is held.</w:t>
      </w:r>
      <w:r>
        <w:rPr>
          <w:rStyle w:val="FootnoteReference"/>
        </w:rPr>
        <w:footnoteReference w:id="165"/>
      </w:r>
    </w:p>
    <w:p w14:paraId="3EF239D1" w14:textId="2E5CF1A1" w:rsidR="005776EE" w:rsidRDefault="005776EE" w:rsidP="00F06623">
      <w:pPr>
        <w:pStyle w:val="ListNumber"/>
      </w:pPr>
      <w:r>
        <w:rPr>
          <w:b/>
          <w:bCs/>
        </w:rPr>
        <w:t xml:space="preserve">If satisfied correction is needed: </w:t>
      </w:r>
      <w:r>
        <w:t>Take reasonable steps to correct the information.</w:t>
      </w:r>
      <w:r>
        <w:rPr>
          <w:rStyle w:val="FootnoteReference"/>
        </w:rPr>
        <w:footnoteReference w:id="166"/>
      </w:r>
      <w:r>
        <w:t xml:space="preserve"> This usually means updating records, adding additional information, or noting that information is disputed.</w:t>
      </w:r>
    </w:p>
    <w:p w14:paraId="6DA0E8B4" w14:textId="3EAE8920" w:rsidR="005776EE" w:rsidRDefault="005776EE" w:rsidP="00F06623">
      <w:pPr>
        <w:pStyle w:val="ListNumber"/>
      </w:pPr>
      <w:r>
        <w:rPr>
          <w:b/>
          <w:bCs/>
        </w:rPr>
        <w:t xml:space="preserve">If refusing to correct: </w:t>
      </w:r>
      <w:r>
        <w:t>Give written notice of the refusal with reasons. Offer to associate a statement with the information noting the individual's view that it is inaccurate, out-of-date, incomplete, irrelevant or misleading.</w:t>
      </w:r>
      <w:r>
        <w:rPr>
          <w:rStyle w:val="FootnoteReference"/>
        </w:rPr>
        <w:footnoteReference w:id="167"/>
      </w:r>
    </w:p>
    <w:p w14:paraId="510C432A" w14:textId="73230139" w:rsidR="005776EE" w:rsidRDefault="005776EE" w:rsidP="00F06623">
      <w:pPr>
        <w:pStyle w:val="ListNumber"/>
        <w:spacing w:after="240"/>
        <w:ind w:left="357" w:hanging="357"/>
      </w:pPr>
      <w:r>
        <w:rPr>
          <w:b/>
          <w:bCs/>
        </w:rPr>
        <w:t xml:space="preserve">Notify third parties: </w:t>
      </w:r>
      <w:r>
        <w:t>If correction is made and you have previously disclosed the information to third parties, consider whether to notify them of the correction.</w:t>
      </w:r>
      <w:r>
        <w:rPr>
          <w:rStyle w:val="FootnoteReference"/>
        </w:rPr>
        <w:footnoteReference w:id="168"/>
      </w:r>
    </w:p>
    <w:tbl>
      <w:tblPr>
        <w:tblW w:w="5000" w:type="pct"/>
        <w:tblCellMar>
          <w:top w:w="284" w:type="dxa"/>
          <w:left w:w="284" w:type="dxa"/>
          <w:bottom w:w="284" w:type="dxa"/>
          <w:right w:w="284" w:type="dxa"/>
        </w:tblCellMar>
        <w:tblLook w:val="0000" w:firstRow="0" w:lastRow="0" w:firstColumn="0" w:lastColumn="0" w:noHBand="0" w:noVBand="0"/>
      </w:tblPr>
      <w:tblGrid>
        <w:gridCol w:w="9026"/>
      </w:tblGrid>
      <w:tr w:rsidR="005776EE" w14:paraId="7433D7D3" w14:textId="77777777" w:rsidTr="00A238C1">
        <w:tc>
          <w:tcPr>
            <w:tcW w:w="9026" w:type="dxa"/>
            <w:shd w:val="clear" w:color="auto" w:fill="E7F3FE"/>
            <w:tcMar>
              <w:top w:w="160" w:type="dxa"/>
              <w:left w:w="200" w:type="dxa"/>
              <w:bottom w:w="160" w:type="dxa"/>
              <w:right w:w="200" w:type="dxa"/>
            </w:tcMar>
          </w:tcPr>
          <w:p w14:paraId="5E79932C" w14:textId="77777777" w:rsidR="005776EE" w:rsidRDefault="005776EE" w:rsidP="00A30EAA">
            <w:pPr>
              <w:pStyle w:val="Body"/>
            </w:pPr>
            <w:r>
              <w:t>Special Consideration: Legal Records</w:t>
            </w:r>
          </w:p>
          <w:p w14:paraId="362E50CB" w14:textId="77777777" w:rsidR="00027C84" w:rsidRDefault="005776EE" w:rsidP="00A30EAA">
            <w:pPr>
              <w:pStyle w:val="Body"/>
            </w:pPr>
            <w:r>
              <w:t xml:space="preserve">Care must be taken with correction requests relating to legal records. File notes, attendance records, and other contemporaneous documents form part of the legal record of a matter and may be relevant to future disputes or claims. </w:t>
            </w:r>
          </w:p>
          <w:p w14:paraId="790FF4EB" w14:textId="0F600029" w:rsidR="005776EE" w:rsidRDefault="005776EE" w:rsidP="00A30EAA">
            <w:pPr>
              <w:pStyle w:val="Body"/>
            </w:pPr>
            <w:r>
              <w:t>Rather than altering such records, it may be more appropriate to add a note indicating that the information is disputed</w:t>
            </w:r>
            <w:r w:rsidR="002A572D">
              <w:t xml:space="preserve"> or should be read in context with more up to date information.</w:t>
            </w:r>
          </w:p>
        </w:tc>
      </w:tr>
    </w:tbl>
    <w:p w14:paraId="0396ABB5" w14:textId="1529858D" w:rsidR="005776EE" w:rsidRDefault="005776EE" w:rsidP="00A30EAA">
      <w:pPr>
        <w:pStyle w:val="NumberedHeading2"/>
      </w:pPr>
      <w:bookmarkStart w:id="351" w:name="_Toc220070001"/>
      <w:bookmarkStart w:id="352" w:name="_Toc220655142"/>
      <w:bookmarkStart w:id="353" w:name="_Toc231895231"/>
      <w:r>
        <w:t>Fees and Timeframes</w:t>
      </w:r>
      <w:bookmarkEnd w:id="351"/>
      <w:bookmarkEnd w:id="352"/>
      <w:bookmarkEnd w:id="353"/>
    </w:p>
    <w:p w14:paraId="4645FD18" w14:textId="1E06855B" w:rsidR="005776EE" w:rsidRDefault="005776EE" w:rsidP="00A30EAA">
      <w:pPr>
        <w:pStyle w:val="Body"/>
      </w:pPr>
      <w:r>
        <w:rPr>
          <w:b/>
          <w:bCs/>
        </w:rPr>
        <w:t xml:space="preserve">Fees: </w:t>
      </w:r>
      <w:r>
        <w:t>APP 12.5 permits charging a fee for access, but the fee must not be excessive.</w:t>
      </w:r>
      <w:r>
        <w:rPr>
          <w:rStyle w:val="FootnoteReference"/>
        </w:rPr>
        <w:footnoteReference w:id="169"/>
      </w:r>
      <w:r>
        <w:t xml:space="preserve"> </w:t>
      </w:r>
      <w:r w:rsidR="00251ED2">
        <w:t xml:space="preserve">Where the request comes from a client or former client no charge can be made for </w:t>
      </w:r>
      <w:r w:rsidR="002F7256">
        <w:t>giving them access to the file in most circumstances.</w:t>
      </w:r>
      <w:r w:rsidR="00BC4A50">
        <w:rPr>
          <w:rStyle w:val="FootnoteReference"/>
        </w:rPr>
        <w:footnoteReference w:id="170"/>
      </w:r>
      <w:r w:rsidR="002F7256">
        <w:t xml:space="preserve"> </w:t>
      </w:r>
      <w:r>
        <w:t>The OAIC indicates that fees should reflect the actual cost of providing access and should not be used to discourage access requests.</w:t>
      </w:r>
      <w:r>
        <w:rPr>
          <w:rStyle w:val="FootnoteReference"/>
        </w:rPr>
        <w:footnoteReference w:id="171"/>
      </w:r>
      <w:r>
        <w:t xml:space="preserve"> Correction requests must be handled free of charge.</w:t>
      </w:r>
    </w:p>
    <w:p w14:paraId="060B605B" w14:textId="4C8779BB" w:rsidR="005776EE" w:rsidRDefault="005776EE" w:rsidP="00A30EAA">
      <w:pPr>
        <w:pStyle w:val="Body"/>
      </w:pPr>
      <w:r>
        <w:rPr>
          <w:b/>
          <w:bCs/>
        </w:rPr>
        <w:t xml:space="preserve">Timeframes: </w:t>
      </w:r>
      <w:r>
        <w:t>Respond to access and correction requests within a reasonable period. The OAIC suggests 30 calendar days as a benchmark for access requests. If more time is needed, communicate this to the requester.</w:t>
      </w:r>
      <w:r w:rsidR="00607017">
        <w:t xml:space="preserve"> A client’s file must be supplied “as soon as reasonably practicable”</w:t>
      </w:r>
      <w:r w:rsidR="00260772">
        <w:t>. 30 days would be longer than usual for most client file uplifts.</w:t>
      </w:r>
    </w:p>
    <w:p w14:paraId="7D7C4657" w14:textId="77777777" w:rsidR="005776EE" w:rsidRDefault="005776EE" w:rsidP="00A30EAA">
      <w:pPr>
        <w:pStyle w:val="Body"/>
      </w:pPr>
      <w:r>
        <w:rPr>
          <w:b/>
          <w:bCs/>
        </w:rPr>
        <w:t xml:space="preserve">Complaints: </w:t>
      </w:r>
      <w:r>
        <w:t>If an individual is dissatisfied with how an access or correction request was handled, they may complain to the OAIC.</w:t>
      </w:r>
      <w:r>
        <w:rPr>
          <w:rStyle w:val="FootnoteReference"/>
        </w:rPr>
        <w:footnoteReference w:id="172"/>
      </w:r>
      <w:r>
        <w:t xml:space="preserve"> Ensure your privacy policy explains the complaint process.</w:t>
      </w:r>
    </w:p>
    <w:p w14:paraId="3730FC91" w14:textId="4EAE2E20" w:rsidR="00D54113" w:rsidRDefault="00D54113">
      <w:pPr>
        <w:spacing w:after="0"/>
      </w:pPr>
      <w:r>
        <w:br w:type="page"/>
      </w:r>
    </w:p>
    <w:p w14:paraId="56EB19E0" w14:textId="277543A5" w:rsidR="005776EE" w:rsidRDefault="005776EE" w:rsidP="00B8098D">
      <w:pPr>
        <w:pStyle w:val="NumberedHeading1"/>
      </w:pPr>
      <w:bookmarkStart w:id="354" w:name="_Toc220070002"/>
      <w:bookmarkStart w:id="355" w:name="_Toc220655143"/>
      <w:bookmarkStart w:id="356" w:name="_Toc231895232"/>
      <w:r>
        <w:lastRenderedPageBreak/>
        <w:t>Staff Training</w:t>
      </w:r>
      <w:bookmarkEnd w:id="354"/>
      <w:bookmarkEnd w:id="355"/>
      <w:bookmarkEnd w:id="356"/>
    </w:p>
    <w:p w14:paraId="73B1B8A7" w14:textId="77777777" w:rsidR="00DC6DB5" w:rsidRDefault="005776EE" w:rsidP="00A30EAA">
      <w:pPr>
        <w:pStyle w:val="Body"/>
      </w:pPr>
      <w:r>
        <w:t xml:space="preserve">Effective privacy compliance depends on staff understanding their obligations and knowing how to apply privacy principles in their daily work. </w:t>
      </w:r>
    </w:p>
    <w:p w14:paraId="144C90DA" w14:textId="1742AB48" w:rsidR="005776EE" w:rsidRDefault="005776EE" w:rsidP="00A30EAA">
      <w:pPr>
        <w:pStyle w:val="Body"/>
      </w:pPr>
      <w:r>
        <w:t>APP 1.2 requires entities to take reasonable steps to implement practices, procedures and systems — and staff training is a critical component of this.</w:t>
      </w:r>
      <w:r>
        <w:rPr>
          <w:rStyle w:val="FootnoteReference"/>
        </w:rPr>
        <w:footnoteReference w:id="173"/>
      </w:r>
      <w:r>
        <w:t xml:space="preserve"> This chapter explains how to develop and deliver privacy training using Document 07: Staff Training Framework.</w:t>
      </w:r>
    </w:p>
    <w:p w14:paraId="06D7A8D1" w14:textId="2348FAD1" w:rsidR="005776EE" w:rsidRDefault="005776EE" w:rsidP="00A30EAA">
      <w:pPr>
        <w:pStyle w:val="NumberedHeading2"/>
      </w:pPr>
      <w:bookmarkStart w:id="357" w:name="_Toc220070004"/>
      <w:bookmarkStart w:id="358" w:name="_Toc220655145"/>
      <w:bookmarkStart w:id="359" w:name="_Toc231895233"/>
      <w:r>
        <w:t>Who Needs Training</w:t>
      </w:r>
      <w:bookmarkEnd w:id="357"/>
      <w:bookmarkEnd w:id="358"/>
      <w:bookmarkEnd w:id="359"/>
    </w:p>
    <w:p w14:paraId="1A74198B" w14:textId="77777777" w:rsidR="005776EE" w:rsidRDefault="005776EE" w:rsidP="00A30EAA">
      <w:pPr>
        <w:pStyle w:val="Body"/>
      </w:pPr>
      <w:r>
        <w:t>All staff who handle personal information need privacy training.</w:t>
      </w:r>
      <w:r>
        <w:rPr>
          <w:rStyle w:val="FootnoteReference"/>
        </w:rPr>
        <w:footnoteReference w:id="174"/>
      </w:r>
      <w:r>
        <w:t xml:space="preserve"> In a law firm, this typically includes:</w:t>
      </w:r>
    </w:p>
    <w:tbl>
      <w:tblPr>
        <w:tblW w:w="5000" w:type="pct"/>
        <w:tblCellMar>
          <w:left w:w="10" w:type="dxa"/>
          <w:right w:w="10" w:type="dxa"/>
        </w:tblCellMar>
        <w:tblLook w:val="04A0" w:firstRow="1" w:lastRow="0" w:firstColumn="1" w:lastColumn="0" w:noHBand="0" w:noVBand="1"/>
      </w:tblPr>
      <w:tblGrid>
        <w:gridCol w:w="2500"/>
        <w:gridCol w:w="6526"/>
      </w:tblGrid>
      <w:tr w:rsidR="005776EE" w14:paraId="7B19B788" w14:textId="77777777" w:rsidTr="00360D72">
        <w:tc>
          <w:tcPr>
            <w:tcW w:w="2500" w:type="dxa"/>
            <w:shd w:val="clear" w:color="auto" w:fill="0F2D52"/>
            <w:tcMar>
              <w:top w:w="100" w:type="dxa"/>
              <w:left w:w="120" w:type="dxa"/>
              <w:bottom w:w="100" w:type="dxa"/>
              <w:right w:w="120" w:type="dxa"/>
            </w:tcMar>
          </w:tcPr>
          <w:p w14:paraId="7304A523" w14:textId="77777777" w:rsidR="005776EE" w:rsidRPr="00A9195E" w:rsidRDefault="005776EE" w:rsidP="00973158">
            <w:pPr>
              <w:rPr>
                <w:b/>
                <w:bCs/>
                <w:color w:val="FFFFFF" w:themeColor="background1"/>
              </w:rPr>
            </w:pPr>
            <w:r w:rsidRPr="00A9195E">
              <w:rPr>
                <w:b/>
                <w:bCs/>
                <w:color w:val="FFFFFF" w:themeColor="background1"/>
              </w:rPr>
              <w:t>Role</w:t>
            </w:r>
          </w:p>
        </w:tc>
        <w:tc>
          <w:tcPr>
            <w:tcW w:w="6526" w:type="dxa"/>
            <w:shd w:val="clear" w:color="auto" w:fill="0F2D52"/>
            <w:tcMar>
              <w:top w:w="100" w:type="dxa"/>
              <w:left w:w="120" w:type="dxa"/>
              <w:bottom w:w="100" w:type="dxa"/>
              <w:right w:w="120" w:type="dxa"/>
            </w:tcMar>
          </w:tcPr>
          <w:p w14:paraId="14402009" w14:textId="77777777" w:rsidR="005776EE" w:rsidRPr="00A9195E" w:rsidRDefault="005776EE" w:rsidP="00973158">
            <w:pPr>
              <w:rPr>
                <w:b/>
                <w:bCs/>
                <w:color w:val="FFFFFF" w:themeColor="background1"/>
              </w:rPr>
            </w:pPr>
            <w:r w:rsidRPr="00A9195E">
              <w:rPr>
                <w:b/>
                <w:bCs/>
                <w:color w:val="FFFFFF" w:themeColor="background1"/>
              </w:rPr>
              <w:t>Training Focus</w:t>
            </w:r>
          </w:p>
        </w:tc>
      </w:tr>
      <w:tr w:rsidR="005776EE" w14:paraId="7D02B044" w14:textId="77777777" w:rsidTr="00360D72">
        <w:tc>
          <w:tcPr>
            <w:tcW w:w="2500" w:type="dxa"/>
            <w:tcBorders>
              <w:bottom w:val="single" w:sz="4" w:space="0" w:color="auto"/>
            </w:tcBorders>
            <w:tcMar>
              <w:top w:w="100" w:type="dxa"/>
              <w:left w:w="120" w:type="dxa"/>
              <w:bottom w:w="100" w:type="dxa"/>
              <w:right w:w="120" w:type="dxa"/>
            </w:tcMar>
          </w:tcPr>
          <w:p w14:paraId="24A2DA70" w14:textId="77777777" w:rsidR="005776EE" w:rsidRDefault="005776EE" w:rsidP="00F06623">
            <w:pPr>
              <w:pStyle w:val="Tablecontent"/>
            </w:pPr>
            <w:r>
              <w:t>Principals</w:t>
            </w:r>
          </w:p>
        </w:tc>
        <w:tc>
          <w:tcPr>
            <w:tcW w:w="6526" w:type="dxa"/>
            <w:tcBorders>
              <w:bottom w:val="single" w:sz="4" w:space="0" w:color="auto"/>
            </w:tcBorders>
            <w:tcMar>
              <w:top w:w="100" w:type="dxa"/>
              <w:left w:w="120" w:type="dxa"/>
              <w:bottom w:w="100" w:type="dxa"/>
              <w:right w:w="120" w:type="dxa"/>
            </w:tcMar>
          </w:tcPr>
          <w:p w14:paraId="16A2C23F" w14:textId="77777777" w:rsidR="005776EE" w:rsidRDefault="005776EE" w:rsidP="00F06623">
            <w:pPr>
              <w:pStyle w:val="Tablecontent"/>
            </w:pPr>
            <w:r>
              <w:t>Overall compliance responsibility; governance; breach response decision-making; regulatory interaction</w:t>
            </w:r>
          </w:p>
        </w:tc>
      </w:tr>
      <w:tr w:rsidR="005776EE" w14:paraId="49DBBBD3" w14:textId="77777777" w:rsidTr="00360D72">
        <w:tc>
          <w:tcPr>
            <w:tcW w:w="2500" w:type="dxa"/>
            <w:tcBorders>
              <w:top w:val="single" w:sz="4" w:space="0" w:color="auto"/>
              <w:bottom w:val="single" w:sz="4" w:space="0" w:color="auto"/>
            </w:tcBorders>
            <w:tcMar>
              <w:top w:w="100" w:type="dxa"/>
              <w:left w:w="120" w:type="dxa"/>
              <w:bottom w:w="100" w:type="dxa"/>
              <w:right w:w="120" w:type="dxa"/>
            </w:tcMar>
          </w:tcPr>
          <w:p w14:paraId="6B31288C" w14:textId="77777777" w:rsidR="005776EE" w:rsidRDefault="005776EE" w:rsidP="00F06623">
            <w:pPr>
              <w:pStyle w:val="Tablecontent"/>
            </w:pPr>
            <w:r>
              <w:t>Solicitors</w:t>
            </w:r>
          </w:p>
        </w:tc>
        <w:tc>
          <w:tcPr>
            <w:tcW w:w="6526" w:type="dxa"/>
            <w:tcBorders>
              <w:top w:val="single" w:sz="4" w:space="0" w:color="auto"/>
              <w:bottom w:val="single" w:sz="4" w:space="0" w:color="auto"/>
            </w:tcBorders>
            <w:tcMar>
              <w:top w:w="100" w:type="dxa"/>
              <w:left w:w="120" w:type="dxa"/>
              <w:bottom w:w="100" w:type="dxa"/>
              <w:right w:w="120" w:type="dxa"/>
            </w:tcMar>
          </w:tcPr>
          <w:p w14:paraId="57ED68D6" w14:textId="03B1F5CD" w:rsidR="005776EE" w:rsidRDefault="004630E9" w:rsidP="00F06623">
            <w:pPr>
              <w:pStyle w:val="Tablecontent"/>
            </w:pPr>
            <w:r>
              <w:t xml:space="preserve">Confidentiality reminder, </w:t>
            </w:r>
            <w:r w:rsidR="005776EE">
              <w:t>Collection and use of client information; collection notices; handling access/correction requests; privilege considerations; client communication about privacy</w:t>
            </w:r>
          </w:p>
        </w:tc>
      </w:tr>
      <w:tr w:rsidR="005776EE" w14:paraId="565D9BD0" w14:textId="77777777" w:rsidTr="00360D72">
        <w:tc>
          <w:tcPr>
            <w:tcW w:w="2500" w:type="dxa"/>
            <w:tcBorders>
              <w:top w:val="single" w:sz="4" w:space="0" w:color="auto"/>
              <w:bottom w:val="single" w:sz="4" w:space="0" w:color="auto"/>
            </w:tcBorders>
            <w:tcMar>
              <w:top w:w="100" w:type="dxa"/>
              <w:left w:w="120" w:type="dxa"/>
              <w:bottom w:w="100" w:type="dxa"/>
              <w:right w:w="120" w:type="dxa"/>
            </w:tcMar>
          </w:tcPr>
          <w:p w14:paraId="0DC15E94" w14:textId="77777777" w:rsidR="005776EE" w:rsidRDefault="005776EE" w:rsidP="00F06623">
            <w:pPr>
              <w:pStyle w:val="Tablecontent"/>
            </w:pPr>
            <w:r>
              <w:t>Paralegals/Legal assistants</w:t>
            </w:r>
          </w:p>
        </w:tc>
        <w:tc>
          <w:tcPr>
            <w:tcW w:w="6526" w:type="dxa"/>
            <w:tcBorders>
              <w:top w:val="single" w:sz="4" w:space="0" w:color="auto"/>
              <w:bottom w:val="single" w:sz="4" w:space="0" w:color="auto"/>
            </w:tcBorders>
            <w:tcMar>
              <w:top w:w="100" w:type="dxa"/>
              <w:left w:w="120" w:type="dxa"/>
              <w:bottom w:w="100" w:type="dxa"/>
              <w:right w:w="120" w:type="dxa"/>
            </w:tcMar>
          </w:tcPr>
          <w:p w14:paraId="4E560DD6" w14:textId="33D9FABD" w:rsidR="005776EE" w:rsidRDefault="004630E9" w:rsidP="00F06623">
            <w:pPr>
              <w:pStyle w:val="Tablecontent"/>
            </w:pPr>
            <w:r>
              <w:t xml:space="preserve">Confidentiality training, </w:t>
            </w:r>
            <w:r w:rsidR="005776EE">
              <w:t>Collection procedures; document handling; recognising access requests; secure document management</w:t>
            </w:r>
          </w:p>
        </w:tc>
      </w:tr>
      <w:tr w:rsidR="005776EE" w14:paraId="4F8432C9" w14:textId="77777777" w:rsidTr="00360D72">
        <w:tc>
          <w:tcPr>
            <w:tcW w:w="2500" w:type="dxa"/>
            <w:tcBorders>
              <w:top w:val="single" w:sz="4" w:space="0" w:color="auto"/>
              <w:bottom w:val="single" w:sz="4" w:space="0" w:color="auto"/>
            </w:tcBorders>
            <w:tcMar>
              <w:top w:w="100" w:type="dxa"/>
              <w:left w:w="120" w:type="dxa"/>
              <w:bottom w:w="100" w:type="dxa"/>
              <w:right w:w="120" w:type="dxa"/>
            </w:tcMar>
          </w:tcPr>
          <w:p w14:paraId="602F68EE" w14:textId="77777777" w:rsidR="005776EE" w:rsidRDefault="005776EE" w:rsidP="00F06623">
            <w:pPr>
              <w:pStyle w:val="Tablecontent"/>
            </w:pPr>
            <w:r>
              <w:t>Administrative staff</w:t>
            </w:r>
          </w:p>
        </w:tc>
        <w:tc>
          <w:tcPr>
            <w:tcW w:w="6526" w:type="dxa"/>
            <w:tcBorders>
              <w:top w:val="single" w:sz="4" w:space="0" w:color="auto"/>
              <w:bottom w:val="single" w:sz="4" w:space="0" w:color="auto"/>
            </w:tcBorders>
            <w:tcMar>
              <w:top w:w="100" w:type="dxa"/>
              <w:left w:w="120" w:type="dxa"/>
              <w:bottom w:w="100" w:type="dxa"/>
              <w:right w:w="120" w:type="dxa"/>
            </w:tcMar>
          </w:tcPr>
          <w:p w14:paraId="15D961A8" w14:textId="523C3C1A" w:rsidR="005776EE" w:rsidRDefault="004630E9" w:rsidP="00F06623">
            <w:pPr>
              <w:pStyle w:val="Tablecontent"/>
            </w:pPr>
            <w:r>
              <w:t xml:space="preserve">Confidentiality training, </w:t>
            </w:r>
            <w:r w:rsidR="005776EE">
              <w:t>Reception of enquiries; client identification; secure document handling; recognising and escalating privacy requests</w:t>
            </w:r>
          </w:p>
        </w:tc>
      </w:tr>
      <w:tr w:rsidR="005776EE" w14:paraId="2D9E58BA" w14:textId="77777777" w:rsidTr="00360D72">
        <w:tc>
          <w:tcPr>
            <w:tcW w:w="2500" w:type="dxa"/>
            <w:tcBorders>
              <w:top w:val="single" w:sz="4" w:space="0" w:color="auto"/>
              <w:bottom w:val="single" w:sz="4" w:space="0" w:color="auto"/>
            </w:tcBorders>
            <w:tcMar>
              <w:top w:w="100" w:type="dxa"/>
              <w:left w:w="120" w:type="dxa"/>
              <w:bottom w:w="100" w:type="dxa"/>
              <w:right w:w="120" w:type="dxa"/>
            </w:tcMar>
          </w:tcPr>
          <w:p w14:paraId="1D9D312C" w14:textId="77777777" w:rsidR="005776EE" w:rsidRDefault="005776EE" w:rsidP="00F06623">
            <w:pPr>
              <w:pStyle w:val="Tablecontent"/>
            </w:pPr>
            <w:r>
              <w:t>IT/Systems staff</w:t>
            </w:r>
          </w:p>
        </w:tc>
        <w:tc>
          <w:tcPr>
            <w:tcW w:w="6526" w:type="dxa"/>
            <w:tcBorders>
              <w:top w:val="single" w:sz="4" w:space="0" w:color="auto"/>
              <w:bottom w:val="single" w:sz="4" w:space="0" w:color="auto"/>
            </w:tcBorders>
            <w:tcMar>
              <w:top w:w="100" w:type="dxa"/>
              <w:left w:w="120" w:type="dxa"/>
              <w:bottom w:w="100" w:type="dxa"/>
              <w:right w:w="120" w:type="dxa"/>
            </w:tcMar>
          </w:tcPr>
          <w:p w14:paraId="32742AE5" w14:textId="39C48C1A" w:rsidR="005776EE" w:rsidRDefault="00DC492E" w:rsidP="00F06623">
            <w:pPr>
              <w:pStyle w:val="Tablecontent"/>
            </w:pPr>
            <w:r>
              <w:t>Which t</w:t>
            </w:r>
            <w:r w:rsidR="005776EE">
              <w:t>echnical security measures</w:t>
            </w:r>
            <w:r>
              <w:t xml:space="preserve"> have been selected</w:t>
            </w:r>
            <w:r w:rsidR="005776EE">
              <w:t xml:space="preserve">; access controls; incident response; </w:t>
            </w:r>
            <w:r w:rsidR="00E16F18">
              <w:t>security policies and their role in maintaining and enforcing them.</w:t>
            </w:r>
          </w:p>
        </w:tc>
      </w:tr>
      <w:tr w:rsidR="005776EE" w14:paraId="3F42B5CF" w14:textId="77777777" w:rsidTr="00360D72">
        <w:tc>
          <w:tcPr>
            <w:tcW w:w="2500" w:type="dxa"/>
            <w:tcBorders>
              <w:top w:val="single" w:sz="4" w:space="0" w:color="auto"/>
              <w:bottom w:val="single" w:sz="4" w:space="0" w:color="auto"/>
            </w:tcBorders>
            <w:tcMar>
              <w:top w:w="100" w:type="dxa"/>
              <w:left w:w="120" w:type="dxa"/>
              <w:bottom w:w="100" w:type="dxa"/>
              <w:right w:w="120" w:type="dxa"/>
            </w:tcMar>
          </w:tcPr>
          <w:p w14:paraId="2EBEA0A0" w14:textId="77777777" w:rsidR="005776EE" w:rsidRDefault="005776EE" w:rsidP="00F06623">
            <w:pPr>
              <w:pStyle w:val="Tablecontent"/>
            </w:pPr>
            <w:r>
              <w:t>New staff (all roles)</w:t>
            </w:r>
          </w:p>
        </w:tc>
        <w:tc>
          <w:tcPr>
            <w:tcW w:w="6526" w:type="dxa"/>
            <w:tcBorders>
              <w:top w:val="single" w:sz="4" w:space="0" w:color="auto"/>
              <w:bottom w:val="single" w:sz="4" w:space="0" w:color="auto"/>
            </w:tcBorders>
            <w:tcMar>
              <w:top w:w="100" w:type="dxa"/>
              <w:left w:w="120" w:type="dxa"/>
              <w:bottom w:w="100" w:type="dxa"/>
              <w:right w:w="120" w:type="dxa"/>
            </w:tcMar>
          </w:tcPr>
          <w:p w14:paraId="6224F7C9" w14:textId="144EA1E3" w:rsidR="005776EE" w:rsidRDefault="005776EE" w:rsidP="00F06623">
            <w:pPr>
              <w:pStyle w:val="Tablecontent"/>
            </w:pPr>
            <w:r>
              <w:t>Induction training covering</w:t>
            </w:r>
            <w:r w:rsidR="00B268C9">
              <w:t xml:space="preserve"> </w:t>
            </w:r>
            <w:r w:rsidR="009E4471">
              <w:t>legal</w:t>
            </w:r>
            <w:r w:rsidR="00B268C9">
              <w:t xml:space="preserve"> confidentiality</w:t>
            </w:r>
            <w:r w:rsidR="009E4471">
              <w:t xml:space="preserve"> rules</w:t>
            </w:r>
            <w:r w:rsidR="00B268C9">
              <w:t>,</w:t>
            </w:r>
            <w:r>
              <w:t xml:space="preserve"> firm privacy policy, key procedures</w:t>
            </w:r>
            <w:r w:rsidR="006E1B3B">
              <w:t xml:space="preserve"> (such as system use and access, </w:t>
            </w:r>
            <w:hyperlink r:id="rId22" w:history="1">
              <w:r w:rsidR="006E1B3B" w:rsidRPr="00E33A4F">
                <w:rPr>
                  <w:rStyle w:val="Hyperlink"/>
                </w:rPr>
                <w:t>password policy</w:t>
              </w:r>
            </w:hyperlink>
            <w:r w:rsidR="006E1B3B">
              <w:t xml:space="preserve">, </w:t>
            </w:r>
            <w:r w:rsidR="00341904">
              <w:t>personal device policies, use of external systems – including AI – and</w:t>
            </w:r>
            <w:r w:rsidR="007668C5">
              <w:t xml:space="preserve"> </w:t>
            </w:r>
            <w:r w:rsidR="009E4471">
              <w:t>internal incident escalation.</w:t>
            </w:r>
            <w:r w:rsidR="007668C5">
              <w:t>)</w:t>
            </w:r>
          </w:p>
        </w:tc>
      </w:tr>
    </w:tbl>
    <w:p w14:paraId="334C1119" w14:textId="77777777" w:rsidR="004D1E21" w:rsidRDefault="004D1E21" w:rsidP="008547F6">
      <w:pPr>
        <w:pStyle w:val="Heading2"/>
      </w:pPr>
      <w:bookmarkStart w:id="360" w:name="_Toc220070005"/>
      <w:bookmarkStart w:id="361" w:name="_Toc220655146"/>
    </w:p>
    <w:p w14:paraId="00A1335D" w14:textId="77777777" w:rsidR="004D1E21" w:rsidRDefault="004D1E21">
      <w:pPr>
        <w:spacing w:after="0"/>
        <w:rPr>
          <w:b/>
          <w:bCs/>
          <w:iCs/>
          <w:color w:val="0F2D52"/>
          <w:sz w:val="28"/>
          <w:szCs w:val="28"/>
        </w:rPr>
      </w:pPr>
      <w:r>
        <w:br w:type="page"/>
      </w:r>
    </w:p>
    <w:p w14:paraId="7047F1C3" w14:textId="65AA546C" w:rsidR="005776EE" w:rsidRDefault="005776EE" w:rsidP="00A30EAA">
      <w:pPr>
        <w:pStyle w:val="NumberedHeading2"/>
      </w:pPr>
      <w:bookmarkStart w:id="362" w:name="_Toc231895234"/>
      <w:r>
        <w:lastRenderedPageBreak/>
        <w:t>Core Training Content</w:t>
      </w:r>
      <w:bookmarkEnd w:id="360"/>
      <w:bookmarkEnd w:id="361"/>
      <w:bookmarkEnd w:id="362"/>
    </w:p>
    <w:p w14:paraId="1312C43F" w14:textId="77777777" w:rsidR="005776EE" w:rsidRDefault="005776EE" w:rsidP="00A30EAA">
      <w:pPr>
        <w:pStyle w:val="Body"/>
      </w:pPr>
      <w:r>
        <w:t>Document 07: Staff Training Framework provides a comprehensive training curriculum. Core topics that all staff should understand include:</w:t>
      </w:r>
      <w:r>
        <w:rPr>
          <w:rStyle w:val="FootnoteReference"/>
        </w:rPr>
        <w:footnoteReference w:id="175"/>
      </w:r>
    </w:p>
    <w:p w14:paraId="51FF68D9" w14:textId="253DC4C7" w:rsidR="005776EE" w:rsidRDefault="005776EE" w:rsidP="00A30EAA">
      <w:pPr>
        <w:pStyle w:val="ListParagraph"/>
      </w:pPr>
      <w:r>
        <w:rPr>
          <w:b/>
          <w:bCs/>
        </w:rPr>
        <w:t>Why privacy matters:</w:t>
      </w:r>
      <w:r w:rsidR="007668C5">
        <w:t xml:space="preserve"> Privacy vs </w:t>
      </w:r>
      <w:r w:rsidR="00272562">
        <w:t>c</w:t>
      </w:r>
      <w:r w:rsidR="007668C5">
        <w:t xml:space="preserve">onfidentiality intersection, what </w:t>
      </w:r>
      <w:r w:rsidR="005D7B11">
        <w:t xml:space="preserve">information the firm holds is </w:t>
      </w:r>
      <w:r w:rsidR="00272562">
        <w:t>p</w:t>
      </w:r>
      <w:r w:rsidR="005D7B11">
        <w:t xml:space="preserve">rivacy </w:t>
      </w:r>
      <w:r w:rsidR="00272562">
        <w:t>r</w:t>
      </w:r>
      <w:r w:rsidR="005D7B11">
        <w:t>egulated vs confidential,</w:t>
      </w:r>
      <w:r>
        <w:t xml:space="preserve"> connection to professional obligations; consequences of non-compliance.</w:t>
      </w:r>
    </w:p>
    <w:p w14:paraId="4E661D01" w14:textId="418B7B0C" w:rsidR="005776EE" w:rsidRDefault="005776EE" w:rsidP="00A30EAA">
      <w:pPr>
        <w:pStyle w:val="ListParagraph"/>
      </w:pPr>
      <w:r>
        <w:rPr>
          <w:b/>
          <w:bCs/>
        </w:rPr>
        <w:t xml:space="preserve">Key concepts: </w:t>
      </w:r>
      <w:r>
        <w:t xml:space="preserve">Personal information; sensitive information; </w:t>
      </w:r>
      <w:r w:rsidR="005D7B11">
        <w:t xml:space="preserve">confidential information, privileged information, </w:t>
      </w:r>
      <w:r>
        <w:t>collection, use and disclosure.</w:t>
      </w:r>
    </w:p>
    <w:p w14:paraId="3E7396D7" w14:textId="2FF0E401" w:rsidR="005776EE" w:rsidRDefault="005776EE" w:rsidP="00A30EAA">
      <w:pPr>
        <w:pStyle w:val="ListParagraph"/>
      </w:pPr>
      <w:r>
        <w:rPr>
          <w:b/>
          <w:bCs/>
        </w:rPr>
        <w:t xml:space="preserve">Firm's privacy policy: </w:t>
      </w:r>
      <w:r>
        <w:t>Overview of the policy; where to find it; how it applies to daily work.</w:t>
      </w:r>
      <w:r w:rsidR="00702362">
        <w:t xml:space="preserve"> </w:t>
      </w:r>
    </w:p>
    <w:p w14:paraId="72B1F2CD" w14:textId="23E5060F" w:rsidR="005776EE" w:rsidRDefault="005776EE" w:rsidP="00A30EAA">
      <w:pPr>
        <w:pStyle w:val="ListParagraph"/>
      </w:pPr>
      <w:r>
        <w:rPr>
          <w:b/>
          <w:bCs/>
        </w:rPr>
        <w:t xml:space="preserve">Security practices: </w:t>
      </w:r>
      <w:r>
        <w:t>Password security; physical security; secure document handling; email security.</w:t>
      </w:r>
    </w:p>
    <w:p w14:paraId="13E8282B" w14:textId="1B04DCD6" w:rsidR="00702362" w:rsidRDefault="00702362" w:rsidP="00A30EAA">
      <w:pPr>
        <w:pStyle w:val="ListParagraph"/>
      </w:pPr>
      <w:r>
        <w:rPr>
          <w:b/>
          <w:bCs/>
        </w:rPr>
        <w:t xml:space="preserve">Collection notices: </w:t>
      </w:r>
      <w:r>
        <w:t>When and how to provide collection notices; which template to use.</w:t>
      </w:r>
    </w:p>
    <w:p w14:paraId="2FBC8E98" w14:textId="7A11A1CE" w:rsidR="005776EE" w:rsidRDefault="005776EE" w:rsidP="00A30EAA">
      <w:pPr>
        <w:pStyle w:val="ListParagraph"/>
      </w:pPr>
      <w:r>
        <w:rPr>
          <w:b/>
          <w:bCs/>
        </w:rPr>
        <w:t xml:space="preserve">Recognising requests: </w:t>
      </w:r>
      <w:r>
        <w:t>How to recognise access requests, correction requests, and complaints; escalation procedures.</w:t>
      </w:r>
    </w:p>
    <w:p w14:paraId="7B2C3239" w14:textId="31035BDE" w:rsidR="000F00B7" w:rsidRDefault="000F00B7" w:rsidP="00A30EAA">
      <w:pPr>
        <w:pStyle w:val="ListParagraph"/>
      </w:pPr>
      <w:r>
        <w:rPr>
          <w:b/>
          <w:bCs/>
        </w:rPr>
        <w:t>Data protection measures and policies:</w:t>
      </w:r>
      <w:r>
        <w:t xml:space="preserve"> what they are and how to use them;</w:t>
      </w:r>
    </w:p>
    <w:p w14:paraId="6FB73B40" w14:textId="6DE88810" w:rsidR="005776EE" w:rsidRDefault="005776EE" w:rsidP="00A30EAA">
      <w:pPr>
        <w:pStyle w:val="ListParagraph"/>
      </w:pPr>
      <w:r>
        <w:rPr>
          <w:b/>
          <w:bCs/>
        </w:rPr>
        <w:t xml:space="preserve">Incident reporting: </w:t>
      </w:r>
      <w:r>
        <w:t>How to recognise a potential data breach; reporting procedures; importance of prompt reporting.</w:t>
      </w:r>
    </w:p>
    <w:p w14:paraId="636904E1" w14:textId="1D57A87F" w:rsidR="005776EE" w:rsidRDefault="005776EE" w:rsidP="00A30EAA">
      <w:pPr>
        <w:pStyle w:val="ListParagraph"/>
      </w:pPr>
      <w:r>
        <w:rPr>
          <w:b/>
          <w:bCs/>
        </w:rPr>
        <w:t xml:space="preserve">AML/CTF integration: </w:t>
      </w:r>
      <w:r>
        <w:t>The connection between AML/CTF and privacy; CDD procedures; tipping off prohibition.</w:t>
      </w:r>
    </w:p>
    <w:p w14:paraId="4EED04AD" w14:textId="332027B7" w:rsidR="005776EE" w:rsidRDefault="005776EE" w:rsidP="00A30EAA">
      <w:pPr>
        <w:pStyle w:val="NumberedHeading2"/>
      </w:pPr>
      <w:bookmarkStart w:id="363" w:name="_Toc220070006"/>
      <w:bookmarkStart w:id="364" w:name="_Toc220655147"/>
      <w:bookmarkStart w:id="365" w:name="_Toc231895235"/>
      <w:r>
        <w:t>Training Delivery and Documentation</w:t>
      </w:r>
      <w:bookmarkEnd w:id="363"/>
      <w:bookmarkEnd w:id="364"/>
      <w:bookmarkEnd w:id="365"/>
    </w:p>
    <w:p w14:paraId="327E3E9C" w14:textId="77777777" w:rsidR="008B47A6" w:rsidRDefault="005776EE" w:rsidP="00A30EAA">
      <w:pPr>
        <w:pStyle w:val="Body"/>
      </w:pPr>
      <w:r>
        <w:rPr>
          <w:b/>
          <w:bCs/>
        </w:rPr>
        <w:t xml:space="preserve">Document training delivery: </w:t>
      </w:r>
      <w:r>
        <w:t xml:space="preserve">Maintain a training register recording training sessions delivered, attendees, and topics covered. </w:t>
      </w:r>
    </w:p>
    <w:p w14:paraId="09B82220" w14:textId="75461C3B" w:rsidR="005776EE" w:rsidRDefault="005776EE" w:rsidP="00A30EAA">
      <w:pPr>
        <w:pStyle w:val="Body"/>
      </w:pPr>
      <w:r>
        <w:t>This provides evidence of compliance with APP 1.2 and AML/CTF training requirements.</w:t>
      </w:r>
      <w:r w:rsidR="008B47A6">
        <w:t xml:space="preserve"> It will also be of great assistance if a staff member makes an error and the firm needs to establish what steps it took to prevent </w:t>
      </w:r>
      <w:r w:rsidR="00433DA6">
        <w:t>this happening.</w:t>
      </w:r>
    </w:p>
    <w:p w14:paraId="7801EAB5" w14:textId="77777777" w:rsidR="005776EE" w:rsidRDefault="005776EE" w:rsidP="00973158">
      <w:r>
        <w:br w:type="page"/>
      </w:r>
    </w:p>
    <w:p w14:paraId="7C960DB9" w14:textId="74AB7372" w:rsidR="005776EE" w:rsidRDefault="005776EE" w:rsidP="00B8098D">
      <w:pPr>
        <w:pStyle w:val="NumberedHeading1"/>
      </w:pPr>
      <w:bookmarkStart w:id="366" w:name="_Toc220070007"/>
      <w:bookmarkStart w:id="367" w:name="_Toc220655148"/>
      <w:bookmarkStart w:id="368" w:name="_Toc231895236"/>
      <w:r>
        <w:lastRenderedPageBreak/>
        <w:t>Handling Privacy Complaints</w:t>
      </w:r>
      <w:bookmarkEnd w:id="366"/>
      <w:bookmarkEnd w:id="367"/>
      <w:bookmarkEnd w:id="368"/>
    </w:p>
    <w:p w14:paraId="239968AC" w14:textId="1DB6042A" w:rsidR="005776EE" w:rsidRDefault="005776EE" w:rsidP="00A30EAA">
      <w:pPr>
        <w:pStyle w:val="Body"/>
      </w:pPr>
      <w:r>
        <w:t>Individuals have the right to complain if they believe their privacy has been breached. Your privacy policy must explain how individuals can complain and how complaints will be handled.</w:t>
      </w:r>
      <w:r>
        <w:rPr>
          <w:rStyle w:val="FootnoteReference"/>
        </w:rPr>
        <w:footnoteReference w:id="176"/>
      </w:r>
      <w:r>
        <w:t xml:space="preserve"> </w:t>
      </w:r>
    </w:p>
    <w:p w14:paraId="4F5148B4" w14:textId="0AB03AE6" w:rsidR="005776EE" w:rsidRDefault="005776EE" w:rsidP="00A30EAA">
      <w:pPr>
        <w:pStyle w:val="NumberedHeading2"/>
      </w:pPr>
      <w:bookmarkStart w:id="369" w:name="_Toc220070008"/>
      <w:bookmarkStart w:id="370" w:name="_Toc220655149"/>
      <w:bookmarkStart w:id="371" w:name="_Toc231895237"/>
      <w:r>
        <w:t>Establishing a Complaint Process</w:t>
      </w:r>
      <w:bookmarkEnd w:id="369"/>
      <w:bookmarkEnd w:id="370"/>
      <w:bookmarkEnd w:id="371"/>
    </w:p>
    <w:p w14:paraId="7C5F0065" w14:textId="77777777" w:rsidR="005776EE" w:rsidRDefault="005776EE" w:rsidP="00A30EAA">
      <w:pPr>
        <w:pStyle w:val="Body"/>
      </w:pPr>
      <w:r>
        <w:t>A good complaint process should be:</w:t>
      </w:r>
      <w:r>
        <w:rPr>
          <w:rStyle w:val="FootnoteReference"/>
        </w:rPr>
        <w:footnoteReference w:id="177"/>
      </w:r>
    </w:p>
    <w:p w14:paraId="639F2F2E" w14:textId="4C9C342C" w:rsidR="005776EE" w:rsidRDefault="005776EE" w:rsidP="00A30EAA">
      <w:pPr>
        <w:pStyle w:val="ListParagraph"/>
      </w:pPr>
      <w:r>
        <w:rPr>
          <w:b/>
          <w:bCs/>
        </w:rPr>
        <w:t xml:space="preserve">Accessible: </w:t>
      </w:r>
      <w:r>
        <w:t>Easy to find (in privacy policy) and easy to use.</w:t>
      </w:r>
    </w:p>
    <w:p w14:paraId="6CE1E7BA" w14:textId="2C5ED19D" w:rsidR="005776EE" w:rsidRDefault="005776EE" w:rsidP="00A30EAA">
      <w:pPr>
        <w:pStyle w:val="ListParagraph"/>
      </w:pPr>
      <w:r>
        <w:rPr>
          <w:b/>
          <w:bCs/>
        </w:rPr>
        <w:t xml:space="preserve">Transparent: </w:t>
      </w:r>
      <w:r>
        <w:t>Clear about what will happen with complaints and expected timeframes.</w:t>
      </w:r>
    </w:p>
    <w:p w14:paraId="3183B99E" w14:textId="2907D40D" w:rsidR="005776EE" w:rsidRDefault="005776EE" w:rsidP="00A30EAA">
      <w:pPr>
        <w:pStyle w:val="ListParagraph"/>
      </w:pPr>
      <w:r>
        <w:rPr>
          <w:b/>
          <w:bCs/>
        </w:rPr>
        <w:t xml:space="preserve">Fair: </w:t>
      </w:r>
      <w:r>
        <w:t>Complaints investigated impartially with opportunity for complainant to respond.</w:t>
      </w:r>
    </w:p>
    <w:p w14:paraId="25749D5E" w14:textId="5BCED680" w:rsidR="005776EE" w:rsidRDefault="005776EE" w:rsidP="00A30EAA">
      <w:pPr>
        <w:pStyle w:val="ListParagraph"/>
      </w:pPr>
      <w:r>
        <w:rPr>
          <w:b/>
          <w:bCs/>
        </w:rPr>
        <w:t xml:space="preserve">Confidential: </w:t>
      </w:r>
      <w:r>
        <w:t>Complainant's information handled appropriately.</w:t>
      </w:r>
    </w:p>
    <w:p w14:paraId="05C5F71E" w14:textId="77777777" w:rsidR="005776EE" w:rsidRDefault="005776EE" w:rsidP="00A30EAA">
      <w:pPr>
        <w:pStyle w:val="Body"/>
      </w:pPr>
      <w:r>
        <w:t>Designate who is responsible for handling privacy complaints (typically the Privacy Officer). Ensure that person has authority to investigate and resolve complaints.</w:t>
      </w:r>
    </w:p>
    <w:p w14:paraId="16A5F6D1" w14:textId="71265B31" w:rsidR="005776EE" w:rsidRDefault="005776EE" w:rsidP="00A30EAA">
      <w:pPr>
        <w:pStyle w:val="NumberedHeading2"/>
      </w:pPr>
      <w:bookmarkStart w:id="372" w:name="_Toc220070009"/>
      <w:bookmarkStart w:id="373" w:name="_Toc220655150"/>
      <w:bookmarkStart w:id="374" w:name="_Toc231895238"/>
      <w:r>
        <w:t>Receiving and Assessing Complaints</w:t>
      </w:r>
      <w:bookmarkEnd w:id="372"/>
      <w:bookmarkEnd w:id="373"/>
      <w:bookmarkEnd w:id="374"/>
    </w:p>
    <w:p w14:paraId="77FA7D40" w14:textId="77777777" w:rsidR="005776EE" w:rsidRDefault="005776EE" w:rsidP="00A30EAA">
      <w:pPr>
        <w:pStyle w:val="Body"/>
      </w:pPr>
      <w:r>
        <w:t>A privacy complaint does not require any particular form. Any expression of dissatisfaction about how the firm has handled personal information should be treated as a potential complaint.</w:t>
      </w:r>
      <w:r>
        <w:rPr>
          <w:rStyle w:val="FootnoteReference"/>
        </w:rPr>
        <w:footnoteReference w:id="178"/>
      </w:r>
    </w:p>
    <w:tbl>
      <w:tblPr>
        <w:tblW w:w="5000" w:type="pct"/>
        <w:tblBorders>
          <w:bottom w:val="single" w:sz="4" w:space="0" w:color="auto"/>
          <w:insideH w:val="single" w:sz="4" w:space="0" w:color="auto"/>
        </w:tblBorders>
        <w:tblCellMar>
          <w:left w:w="10" w:type="dxa"/>
          <w:right w:w="10" w:type="dxa"/>
        </w:tblCellMar>
        <w:tblLook w:val="04A0" w:firstRow="1" w:lastRow="0" w:firstColumn="1" w:lastColumn="0" w:noHBand="0" w:noVBand="1"/>
      </w:tblPr>
      <w:tblGrid>
        <w:gridCol w:w="1200"/>
        <w:gridCol w:w="2000"/>
        <w:gridCol w:w="5826"/>
      </w:tblGrid>
      <w:tr w:rsidR="005776EE" w14:paraId="77268EFB" w14:textId="77777777" w:rsidTr="00360D72">
        <w:tc>
          <w:tcPr>
            <w:tcW w:w="1200" w:type="dxa"/>
            <w:shd w:val="clear" w:color="auto" w:fill="0F2D52"/>
            <w:tcMar>
              <w:top w:w="100" w:type="dxa"/>
              <w:left w:w="120" w:type="dxa"/>
              <w:bottom w:w="100" w:type="dxa"/>
              <w:right w:w="120" w:type="dxa"/>
            </w:tcMar>
          </w:tcPr>
          <w:p w14:paraId="5FA3EB79" w14:textId="77777777" w:rsidR="005776EE" w:rsidRPr="000A094E" w:rsidRDefault="005776EE" w:rsidP="00F06623">
            <w:pPr>
              <w:pStyle w:val="TableHeading"/>
            </w:pPr>
            <w:r w:rsidRPr="000A094E">
              <w:t>Step</w:t>
            </w:r>
          </w:p>
        </w:tc>
        <w:tc>
          <w:tcPr>
            <w:tcW w:w="2000" w:type="dxa"/>
            <w:shd w:val="clear" w:color="auto" w:fill="0F2D52"/>
            <w:tcMar>
              <w:top w:w="100" w:type="dxa"/>
              <w:left w:w="120" w:type="dxa"/>
              <w:bottom w:w="100" w:type="dxa"/>
              <w:right w:w="120" w:type="dxa"/>
            </w:tcMar>
          </w:tcPr>
          <w:p w14:paraId="2E8D581A" w14:textId="77777777" w:rsidR="005776EE" w:rsidRPr="000A094E" w:rsidRDefault="005776EE" w:rsidP="00F06623">
            <w:pPr>
              <w:pStyle w:val="TableHeading"/>
            </w:pPr>
            <w:r w:rsidRPr="000A094E">
              <w:t>Action</w:t>
            </w:r>
          </w:p>
        </w:tc>
        <w:tc>
          <w:tcPr>
            <w:tcW w:w="5826" w:type="dxa"/>
            <w:shd w:val="clear" w:color="auto" w:fill="0F2D52"/>
            <w:tcMar>
              <w:top w:w="100" w:type="dxa"/>
              <w:left w:w="120" w:type="dxa"/>
              <w:bottom w:w="100" w:type="dxa"/>
              <w:right w:w="120" w:type="dxa"/>
            </w:tcMar>
          </w:tcPr>
          <w:p w14:paraId="7F799A6F" w14:textId="77777777" w:rsidR="005776EE" w:rsidRPr="000A094E" w:rsidRDefault="005776EE" w:rsidP="00F06623">
            <w:pPr>
              <w:pStyle w:val="TableHeading"/>
            </w:pPr>
            <w:r w:rsidRPr="000A094E">
              <w:t>Detail</w:t>
            </w:r>
          </w:p>
        </w:tc>
      </w:tr>
      <w:tr w:rsidR="005776EE" w14:paraId="700A5AB3" w14:textId="77777777" w:rsidTr="00360D72">
        <w:tc>
          <w:tcPr>
            <w:tcW w:w="1200" w:type="dxa"/>
            <w:tcMar>
              <w:top w:w="100" w:type="dxa"/>
              <w:left w:w="120" w:type="dxa"/>
              <w:bottom w:w="100" w:type="dxa"/>
              <w:right w:w="120" w:type="dxa"/>
            </w:tcMar>
          </w:tcPr>
          <w:p w14:paraId="1D481A5D" w14:textId="77777777" w:rsidR="005776EE" w:rsidRDefault="005776EE" w:rsidP="00F06623">
            <w:pPr>
              <w:pStyle w:val="Tablecontent"/>
            </w:pPr>
            <w:r>
              <w:t>1</w:t>
            </w:r>
          </w:p>
        </w:tc>
        <w:tc>
          <w:tcPr>
            <w:tcW w:w="2000" w:type="dxa"/>
            <w:tcMar>
              <w:top w:w="100" w:type="dxa"/>
              <w:left w:w="120" w:type="dxa"/>
              <w:bottom w:w="100" w:type="dxa"/>
              <w:right w:w="120" w:type="dxa"/>
            </w:tcMar>
          </w:tcPr>
          <w:p w14:paraId="722819E7" w14:textId="77777777" w:rsidR="005776EE" w:rsidRDefault="005776EE" w:rsidP="00F06623">
            <w:pPr>
              <w:pStyle w:val="Tablecontent"/>
            </w:pPr>
            <w:r>
              <w:t>Receive</w:t>
            </w:r>
          </w:p>
        </w:tc>
        <w:tc>
          <w:tcPr>
            <w:tcW w:w="5826" w:type="dxa"/>
            <w:tcMar>
              <w:top w:w="100" w:type="dxa"/>
              <w:left w:w="120" w:type="dxa"/>
              <w:bottom w:w="100" w:type="dxa"/>
              <w:right w:w="120" w:type="dxa"/>
            </w:tcMar>
          </w:tcPr>
          <w:p w14:paraId="0776B4FF" w14:textId="77777777" w:rsidR="005776EE" w:rsidRDefault="005776EE" w:rsidP="00F06623">
            <w:pPr>
              <w:pStyle w:val="Tablecontent"/>
            </w:pPr>
            <w:r>
              <w:t>Record the complaint; acknowledge receipt within 5 business days; provide expected timeframe for response</w:t>
            </w:r>
          </w:p>
        </w:tc>
      </w:tr>
      <w:tr w:rsidR="005776EE" w14:paraId="7E65E925" w14:textId="77777777" w:rsidTr="00360D72">
        <w:tc>
          <w:tcPr>
            <w:tcW w:w="1200" w:type="dxa"/>
            <w:tcMar>
              <w:top w:w="100" w:type="dxa"/>
              <w:left w:w="120" w:type="dxa"/>
              <w:bottom w:w="100" w:type="dxa"/>
              <w:right w:w="120" w:type="dxa"/>
            </w:tcMar>
          </w:tcPr>
          <w:p w14:paraId="58466A7B" w14:textId="77777777" w:rsidR="005776EE" w:rsidRDefault="005776EE" w:rsidP="00F06623">
            <w:pPr>
              <w:pStyle w:val="Tablecontent"/>
            </w:pPr>
            <w:r>
              <w:t>2</w:t>
            </w:r>
          </w:p>
        </w:tc>
        <w:tc>
          <w:tcPr>
            <w:tcW w:w="2000" w:type="dxa"/>
            <w:tcMar>
              <w:top w:w="100" w:type="dxa"/>
              <w:left w:w="120" w:type="dxa"/>
              <w:bottom w:w="100" w:type="dxa"/>
              <w:right w:w="120" w:type="dxa"/>
            </w:tcMar>
          </w:tcPr>
          <w:p w14:paraId="206FC86D" w14:textId="77777777" w:rsidR="005776EE" w:rsidRDefault="005776EE" w:rsidP="00F06623">
            <w:pPr>
              <w:pStyle w:val="Tablecontent"/>
            </w:pPr>
            <w:r>
              <w:t>Assess</w:t>
            </w:r>
          </w:p>
        </w:tc>
        <w:tc>
          <w:tcPr>
            <w:tcW w:w="5826" w:type="dxa"/>
            <w:tcMar>
              <w:top w:w="100" w:type="dxa"/>
              <w:left w:w="120" w:type="dxa"/>
              <w:bottom w:w="100" w:type="dxa"/>
              <w:right w:w="120" w:type="dxa"/>
            </w:tcMar>
          </w:tcPr>
          <w:p w14:paraId="7B68CBF8" w14:textId="77777777" w:rsidR="005776EE" w:rsidRDefault="005776EE" w:rsidP="00F06623">
            <w:pPr>
              <w:pStyle w:val="Tablecontent"/>
            </w:pPr>
            <w:r>
              <w:t>Clarify the complaint if needed; identify the APP or privacy issue raised; determine if complaint is within scope</w:t>
            </w:r>
          </w:p>
        </w:tc>
      </w:tr>
      <w:tr w:rsidR="005776EE" w14:paraId="2636651A" w14:textId="77777777" w:rsidTr="00360D72">
        <w:tc>
          <w:tcPr>
            <w:tcW w:w="1200" w:type="dxa"/>
            <w:tcMar>
              <w:top w:w="100" w:type="dxa"/>
              <w:left w:w="120" w:type="dxa"/>
              <w:bottom w:w="100" w:type="dxa"/>
              <w:right w:w="120" w:type="dxa"/>
            </w:tcMar>
          </w:tcPr>
          <w:p w14:paraId="26AE1A9E" w14:textId="77777777" w:rsidR="005776EE" w:rsidRDefault="005776EE" w:rsidP="00F06623">
            <w:pPr>
              <w:pStyle w:val="Tablecontent"/>
            </w:pPr>
            <w:r>
              <w:t>3</w:t>
            </w:r>
          </w:p>
        </w:tc>
        <w:tc>
          <w:tcPr>
            <w:tcW w:w="2000" w:type="dxa"/>
            <w:tcMar>
              <w:top w:w="100" w:type="dxa"/>
              <w:left w:w="120" w:type="dxa"/>
              <w:bottom w:w="100" w:type="dxa"/>
              <w:right w:w="120" w:type="dxa"/>
            </w:tcMar>
          </w:tcPr>
          <w:p w14:paraId="003FE1B7" w14:textId="77777777" w:rsidR="005776EE" w:rsidRDefault="005776EE" w:rsidP="00F06623">
            <w:pPr>
              <w:pStyle w:val="Tablecontent"/>
            </w:pPr>
            <w:r>
              <w:t>Investigate</w:t>
            </w:r>
          </w:p>
        </w:tc>
        <w:tc>
          <w:tcPr>
            <w:tcW w:w="5826" w:type="dxa"/>
            <w:tcMar>
              <w:top w:w="100" w:type="dxa"/>
              <w:left w:w="120" w:type="dxa"/>
              <w:bottom w:w="100" w:type="dxa"/>
              <w:right w:w="120" w:type="dxa"/>
            </w:tcMar>
          </w:tcPr>
          <w:p w14:paraId="2DC2D371" w14:textId="77777777" w:rsidR="005776EE" w:rsidRDefault="005776EE" w:rsidP="00F06623">
            <w:pPr>
              <w:pStyle w:val="Tablecontent"/>
            </w:pPr>
            <w:r>
              <w:t>Gather relevant information; review records; consider the facts against privacy obligations; document findings</w:t>
            </w:r>
          </w:p>
        </w:tc>
      </w:tr>
      <w:tr w:rsidR="005776EE" w14:paraId="470D65A2" w14:textId="77777777" w:rsidTr="00360D72">
        <w:tc>
          <w:tcPr>
            <w:tcW w:w="1200" w:type="dxa"/>
            <w:tcMar>
              <w:top w:w="100" w:type="dxa"/>
              <w:left w:w="120" w:type="dxa"/>
              <w:bottom w:w="100" w:type="dxa"/>
              <w:right w:w="120" w:type="dxa"/>
            </w:tcMar>
          </w:tcPr>
          <w:p w14:paraId="0FD17083" w14:textId="77777777" w:rsidR="005776EE" w:rsidRDefault="005776EE" w:rsidP="00F06623">
            <w:pPr>
              <w:pStyle w:val="Tablecontent"/>
            </w:pPr>
            <w:r>
              <w:t>4</w:t>
            </w:r>
          </w:p>
        </w:tc>
        <w:tc>
          <w:tcPr>
            <w:tcW w:w="2000" w:type="dxa"/>
            <w:tcMar>
              <w:top w:w="100" w:type="dxa"/>
              <w:left w:w="120" w:type="dxa"/>
              <w:bottom w:w="100" w:type="dxa"/>
              <w:right w:w="120" w:type="dxa"/>
            </w:tcMar>
          </w:tcPr>
          <w:p w14:paraId="70D611CD" w14:textId="77777777" w:rsidR="005776EE" w:rsidRDefault="005776EE" w:rsidP="00F06623">
            <w:pPr>
              <w:pStyle w:val="Tablecontent"/>
            </w:pPr>
            <w:r>
              <w:t>Respond</w:t>
            </w:r>
          </w:p>
        </w:tc>
        <w:tc>
          <w:tcPr>
            <w:tcW w:w="5826" w:type="dxa"/>
            <w:tcMar>
              <w:top w:w="100" w:type="dxa"/>
              <w:left w:w="120" w:type="dxa"/>
              <w:bottom w:w="100" w:type="dxa"/>
              <w:right w:w="120" w:type="dxa"/>
            </w:tcMar>
          </w:tcPr>
          <w:p w14:paraId="5F75D8DC" w14:textId="77777777" w:rsidR="005776EE" w:rsidRDefault="005776EE" w:rsidP="00F06623">
            <w:pPr>
              <w:pStyle w:val="Tablecontent"/>
            </w:pPr>
            <w:r>
              <w:t>Communicate outcome to complainant; explain findings; if breach occurred, explain remediation steps</w:t>
            </w:r>
          </w:p>
        </w:tc>
      </w:tr>
      <w:tr w:rsidR="005776EE" w14:paraId="7E73F129" w14:textId="77777777" w:rsidTr="00360D72">
        <w:tc>
          <w:tcPr>
            <w:tcW w:w="1200" w:type="dxa"/>
            <w:tcMar>
              <w:top w:w="100" w:type="dxa"/>
              <w:left w:w="120" w:type="dxa"/>
              <w:bottom w:w="100" w:type="dxa"/>
              <w:right w:w="120" w:type="dxa"/>
            </w:tcMar>
          </w:tcPr>
          <w:p w14:paraId="6800DF66" w14:textId="77777777" w:rsidR="005776EE" w:rsidRDefault="005776EE" w:rsidP="00F06623">
            <w:pPr>
              <w:pStyle w:val="Tablecontent"/>
            </w:pPr>
            <w:r>
              <w:t>5</w:t>
            </w:r>
          </w:p>
        </w:tc>
        <w:tc>
          <w:tcPr>
            <w:tcW w:w="2000" w:type="dxa"/>
            <w:tcMar>
              <w:top w:w="100" w:type="dxa"/>
              <w:left w:w="120" w:type="dxa"/>
              <w:bottom w:w="100" w:type="dxa"/>
              <w:right w:w="120" w:type="dxa"/>
            </w:tcMar>
          </w:tcPr>
          <w:p w14:paraId="04874D4F" w14:textId="77777777" w:rsidR="005776EE" w:rsidRDefault="005776EE" w:rsidP="00F06623">
            <w:pPr>
              <w:pStyle w:val="Tablecontent"/>
            </w:pPr>
            <w:r>
              <w:t>Resolve</w:t>
            </w:r>
          </w:p>
        </w:tc>
        <w:tc>
          <w:tcPr>
            <w:tcW w:w="5826" w:type="dxa"/>
            <w:tcMar>
              <w:top w:w="100" w:type="dxa"/>
              <w:left w:w="120" w:type="dxa"/>
              <w:bottom w:w="100" w:type="dxa"/>
              <w:right w:w="120" w:type="dxa"/>
            </w:tcMar>
          </w:tcPr>
          <w:p w14:paraId="55AD8FD6" w14:textId="77777777" w:rsidR="005776EE" w:rsidRDefault="005776EE" w:rsidP="00F06623">
            <w:pPr>
              <w:pStyle w:val="Tablecontent"/>
            </w:pPr>
            <w:r>
              <w:t>Implement any agreed remediation; if complainant remains dissatisfied, advise of right to complain to OAIC</w:t>
            </w:r>
          </w:p>
        </w:tc>
      </w:tr>
      <w:tr w:rsidR="005776EE" w14:paraId="58F870C9" w14:textId="77777777" w:rsidTr="00360D72">
        <w:tc>
          <w:tcPr>
            <w:tcW w:w="1200" w:type="dxa"/>
            <w:tcMar>
              <w:top w:w="100" w:type="dxa"/>
              <w:left w:w="120" w:type="dxa"/>
              <w:bottom w:w="100" w:type="dxa"/>
              <w:right w:w="120" w:type="dxa"/>
            </w:tcMar>
          </w:tcPr>
          <w:p w14:paraId="40F7ABBA" w14:textId="77777777" w:rsidR="005776EE" w:rsidRDefault="005776EE" w:rsidP="00F06623">
            <w:pPr>
              <w:pStyle w:val="Tablecontent"/>
            </w:pPr>
            <w:r>
              <w:t>6</w:t>
            </w:r>
          </w:p>
        </w:tc>
        <w:tc>
          <w:tcPr>
            <w:tcW w:w="2000" w:type="dxa"/>
            <w:tcMar>
              <w:top w:w="100" w:type="dxa"/>
              <w:left w:w="120" w:type="dxa"/>
              <w:bottom w:w="100" w:type="dxa"/>
              <w:right w:w="120" w:type="dxa"/>
            </w:tcMar>
          </w:tcPr>
          <w:p w14:paraId="7883E5E5" w14:textId="77777777" w:rsidR="005776EE" w:rsidRDefault="005776EE" w:rsidP="00F06623">
            <w:pPr>
              <w:pStyle w:val="Tablecontent"/>
            </w:pPr>
            <w:r>
              <w:t>Record</w:t>
            </w:r>
          </w:p>
        </w:tc>
        <w:tc>
          <w:tcPr>
            <w:tcW w:w="5826" w:type="dxa"/>
            <w:tcMar>
              <w:top w:w="100" w:type="dxa"/>
              <w:left w:w="120" w:type="dxa"/>
              <w:bottom w:w="100" w:type="dxa"/>
              <w:right w:w="120" w:type="dxa"/>
            </w:tcMar>
          </w:tcPr>
          <w:p w14:paraId="77176E89" w14:textId="77777777" w:rsidR="005776EE" w:rsidRDefault="005776EE" w:rsidP="00F06623">
            <w:pPr>
              <w:pStyle w:val="Tablecontent"/>
            </w:pPr>
            <w:r>
              <w:t>Document the complaint, investigation, and outcome; identify any systemic issues for follow-up</w:t>
            </w:r>
          </w:p>
        </w:tc>
      </w:tr>
    </w:tbl>
    <w:p w14:paraId="2F515D7E" w14:textId="6C9A4224" w:rsidR="005776EE" w:rsidRDefault="005776EE" w:rsidP="00A30EAA">
      <w:pPr>
        <w:pStyle w:val="NumberedHeading2"/>
      </w:pPr>
      <w:bookmarkStart w:id="375" w:name="_Toc220070010"/>
      <w:bookmarkStart w:id="376" w:name="_Toc220655151"/>
      <w:bookmarkStart w:id="377" w:name="_Toc231895239"/>
      <w:r>
        <w:t>Timeframes</w:t>
      </w:r>
      <w:bookmarkEnd w:id="375"/>
      <w:bookmarkEnd w:id="376"/>
      <w:bookmarkEnd w:id="377"/>
    </w:p>
    <w:p w14:paraId="5F7C7FAA" w14:textId="77777777" w:rsidR="005776EE" w:rsidRDefault="005776EE" w:rsidP="00A30EAA">
      <w:pPr>
        <w:pStyle w:val="Body"/>
      </w:pPr>
      <w:r>
        <w:t>While the Privacy Act does not specify timeframes for complaint handling, the OAIC expects complaints to be handled promptly. Good practice timeframes include:</w:t>
      </w:r>
      <w:r>
        <w:rPr>
          <w:rStyle w:val="FootnoteReference"/>
        </w:rPr>
        <w:footnoteReference w:id="179"/>
      </w:r>
    </w:p>
    <w:p w14:paraId="463A953E" w14:textId="0D3F5558" w:rsidR="005776EE" w:rsidRDefault="005776EE" w:rsidP="00A30EAA">
      <w:pPr>
        <w:pStyle w:val="ListParagraph"/>
      </w:pPr>
      <w:r>
        <w:rPr>
          <w:b/>
          <w:bCs/>
        </w:rPr>
        <w:t xml:space="preserve">Acknowledgement: </w:t>
      </w:r>
      <w:r>
        <w:t>Within 5 business days of receiving the complaint.</w:t>
      </w:r>
    </w:p>
    <w:p w14:paraId="507C485C" w14:textId="6FAAF9D5" w:rsidR="005776EE" w:rsidRDefault="005776EE" w:rsidP="00A30EAA">
      <w:pPr>
        <w:pStyle w:val="ListParagraph"/>
      </w:pPr>
      <w:r>
        <w:rPr>
          <w:b/>
          <w:bCs/>
        </w:rPr>
        <w:t xml:space="preserve">Initial response: </w:t>
      </w:r>
      <w:r>
        <w:t>Within 30 days for most complaints.</w:t>
      </w:r>
    </w:p>
    <w:p w14:paraId="4AF0CD49" w14:textId="275B2BC5" w:rsidR="005776EE" w:rsidRDefault="005776EE" w:rsidP="00A30EAA">
      <w:pPr>
        <w:pStyle w:val="ListParagraph"/>
      </w:pPr>
      <w:r>
        <w:rPr>
          <w:b/>
          <w:bCs/>
        </w:rPr>
        <w:t xml:space="preserve">Complex matters: </w:t>
      </w:r>
      <w:r>
        <w:t>If more time is needed, communicate this to the complainant with an updated timeframe.</w:t>
      </w:r>
    </w:p>
    <w:p w14:paraId="13003786" w14:textId="67E78337" w:rsidR="005776EE" w:rsidRDefault="005776EE" w:rsidP="00A30EAA">
      <w:pPr>
        <w:pStyle w:val="NumberedHeading2"/>
      </w:pPr>
      <w:bookmarkStart w:id="378" w:name="_Toc220070011"/>
      <w:bookmarkStart w:id="379" w:name="_Toc220655152"/>
      <w:bookmarkStart w:id="380" w:name="_Toc231895240"/>
      <w:r>
        <w:lastRenderedPageBreak/>
        <w:t>Escalation to the OAIC</w:t>
      </w:r>
      <w:bookmarkEnd w:id="378"/>
      <w:bookmarkEnd w:id="379"/>
      <w:bookmarkEnd w:id="380"/>
    </w:p>
    <w:p w14:paraId="0A5EC688" w14:textId="77777777" w:rsidR="005776EE" w:rsidRDefault="005776EE" w:rsidP="00A30EAA">
      <w:pPr>
        <w:pStyle w:val="Body"/>
      </w:pPr>
      <w:r>
        <w:t>If a complainant is dissatisfied with how their complaint is handled, they may complain to the OAIC.</w:t>
      </w:r>
      <w:r>
        <w:rPr>
          <w:rStyle w:val="FootnoteReference"/>
        </w:rPr>
        <w:footnoteReference w:id="180"/>
      </w:r>
      <w:r>
        <w:t xml:space="preserve"> The OAIC generally expects complainants to first raise the matter with the entity before escalating.</w:t>
      </w:r>
      <w:r>
        <w:rPr>
          <w:rStyle w:val="FootnoteReference"/>
        </w:rPr>
        <w:footnoteReference w:id="181"/>
      </w:r>
    </w:p>
    <w:p w14:paraId="70F30161" w14:textId="77777777" w:rsidR="005776EE" w:rsidRDefault="005776EE" w:rsidP="00A30EAA">
      <w:pPr>
        <w:pStyle w:val="Body"/>
      </w:pPr>
      <w:r>
        <w:t>If the OAIC investigates:</w:t>
      </w:r>
      <w:r>
        <w:rPr>
          <w:rStyle w:val="FootnoteReference"/>
        </w:rPr>
        <w:footnoteReference w:id="182"/>
      </w:r>
    </w:p>
    <w:p w14:paraId="3588EC5C" w14:textId="3BC0EEC2" w:rsidR="005776EE" w:rsidRDefault="005776EE" w:rsidP="00A30EAA">
      <w:pPr>
        <w:pStyle w:val="ListParagraph"/>
      </w:pPr>
      <w:r>
        <w:t>Cooperate fully with the investigation</w:t>
      </w:r>
      <w:r w:rsidR="00214D54">
        <w:t xml:space="preserve">, bearing in mind that information from a client file </w:t>
      </w:r>
      <w:r w:rsidR="004D6924">
        <w:t>may not be automatically handed over</w:t>
      </w:r>
      <w:r>
        <w:t>;</w:t>
      </w:r>
    </w:p>
    <w:p w14:paraId="60E064A7" w14:textId="5CD07732" w:rsidR="005776EE" w:rsidRDefault="005776EE" w:rsidP="00A30EAA">
      <w:pPr>
        <w:pStyle w:val="ListParagraph"/>
      </w:pPr>
      <w:r>
        <w:t>Provide requested information within timeframes;</w:t>
      </w:r>
    </w:p>
    <w:p w14:paraId="1B8255B4" w14:textId="001FCE87" w:rsidR="005776EE" w:rsidRDefault="005776EE" w:rsidP="00A30EAA">
      <w:pPr>
        <w:pStyle w:val="ListParagraph"/>
      </w:pPr>
      <w:r>
        <w:t>Consider engaging legal advice, particularly for significant complaints;</w:t>
      </w:r>
    </w:p>
    <w:p w14:paraId="1ED46BDE" w14:textId="7AB08AB3" w:rsidR="004D6924" w:rsidRDefault="005776EE" w:rsidP="00A30EAA">
      <w:pPr>
        <w:pStyle w:val="ListParagraph"/>
      </w:pPr>
      <w:r>
        <w:t>Notify professional indemnity insurer if the complaint may give rise to a claim.</w:t>
      </w:r>
    </w:p>
    <w:p w14:paraId="1AAAFE83" w14:textId="73946430" w:rsidR="005776EE" w:rsidRDefault="005776EE" w:rsidP="00A30EAA">
      <w:pPr>
        <w:pStyle w:val="Body"/>
      </w:pPr>
      <w:r>
        <w:t>The OAIC may make a determination if it finds an interference with privacy occurred.</w:t>
      </w:r>
      <w:r>
        <w:rPr>
          <w:rStyle w:val="FootnoteReference"/>
        </w:rPr>
        <w:footnoteReference w:id="183"/>
      </w:r>
      <w:r>
        <w:t xml:space="preserve"> Determinations can include declarations that conduct was an interference with privacy, requirements to take specified steps, and requirements to pay compensation.</w:t>
      </w:r>
    </w:p>
    <w:p w14:paraId="2D786C63" w14:textId="52DFAFDE" w:rsidR="005776EE" w:rsidRDefault="005776EE" w:rsidP="00973158">
      <w:r>
        <w:br w:type="page"/>
      </w:r>
    </w:p>
    <w:p w14:paraId="4D0ABF78" w14:textId="77777777" w:rsidR="00F06623" w:rsidRPr="00F06623" w:rsidRDefault="00F06623" w:rsidP="00AB13FF">
      <w:pPr>
        <w:pStyle w:val="Header"/>
      </w:pPr>
      <w:bookmarkStart w:id="381" w:name="_Toc231895241"/>
      <w:bookmarkStart w:id="382" w:name="_Toc220070012"/>
      <w:bookmarkStart w:id="383" w:name="_Toc220655153"/>
      <w:r w:rsidRPr="00F06623">
        <w:lastRenderedPageBreak/>
        <w:t>PART F</w:t>
      </w:r>
      <w:bookmarkEnd w:id="381"/>
    </w:p>
    <w:p w14:paraId="2C35E1BD" w14:textId="77777777" w:rsidR="00F06623" w:rsidRPr="00F06623" w:rsidRDefault="00F06623" w:rsidP="00A30EAA">
      <w:pPr>
        <w:pStyle w:val="Header2"/>
      </w:pPr>
      <w:bookmarkStart w:id="384" w:name="_Toc231895242"/>
      <w:r w:rsidRPr="00F06623">
        <w:t xml:space="preserve">REFERENCE </w:t>
      </w:r>
      <w:r w:rsidRPr="000F00B7">
        <w:rPr>
          <w:rStyle w:val="Strong"/>
          <w:b/>
          <w:bCs w:val="0"/>
        </w:rPr>
        <w:t>MATERIALS</w:t>
      </w:r>
      <w:bookmarkEnd w:id="384"/>
      <w:r w:rsidRPr="00F06623">
        <w:t xml:space="preserve"> </w:t>
      </w:r>
    </w:p>
    <w:p w14:paraId="7FE2CFDA" w14:textId="49E02770" w:rsidR="005776EE" w:rsidRDefault="005776EE" w:rsidP="00B8098D">
      <w:pPr>
        <w:pStyle w:val="NumberedHeading1"/>
      </w:pPr>
      <w:bookmarkStart w:id="385" w:name="_Toc231895243"/>
      <w:r>
        <w:t>Resources and References</w:t>
      </w:r>
      <w:bookmarkEnd w:id="382"/>
      <w:bookmarkEnd w:id="383"/>
      <w:bookmarkEnd w:id="385"/>
    </w:p>
    <w:p w14:paraId="0F307E7A" w14:textId="6587FC7A" w:rsidR="005776EE" w:rsidRDefault="005776EE" w:rsidP="00A30EAA">
      <w:pPr>
        <w:pStyle w:val="NumberedHeading2"/>
      </w:pPr>
      <w:bookmarkStart w:id="386" w:name="_Toc220070013"/>
      <w:bookmarkStart w:id="387" w:name="_Ref220070897"/>
      <w:bookmarkStart w:id="388" w:name="_Toc220655154"/>
      <w:bookmarkStart w:id="389" w:name="_Toc231895244"/>
      <w:r>
        <w:t>OAIC Guidance and Resources</w:t>
      </w:r>
      <w:bookmarkEnd w:id="386"/>
      <w:bookmarkEnd w:id="387"/>
      <w:bookmarkEnd w:id="388"/>
      <w:bookmarkEnd w:id="389"/>
    </w:p>
    <w:tbl>
      <w:tblPr>
        <w:tblW w:w="5000" w:type="pct"/>
        <w:tblCellMar>
          <w:left w:w="10" w:type="dxa"/>
          <w:right w:w="10" w:type="dxa"/>
        </w:tblCellMar>
        <w:tblLook w:val="04A0" w:firstRow="1" w:lastRow="0" w:firstColumn="1" w:lastColumn="0" w:noHBand="0" w:noVBand="1"/>
      </w:tblPr>
      <w:tblGrid>
        <w:gridCol w:w="4000"/>
        <w:gridCol w:w="5026"/>
      </w:tblGrid>
      <w:tr w:rsidR="005776EE" w14:paraId="01EC5ED2" w14:textId="77777777" w:rsidTr="00360D72">
        <w:tc>
          <w:tcPr>
            <w:tcW w:w="4000" w:type="dxa"/>
            <w:shd w:val="clear" w:color="auto" w:fill="0F2D52"/>
            <w:tcMar>
              <w:top w:w="100" w:type="dxa"/>
              <w:left w:w="120" w:type="dxa"/>
              <w:bottom w:w="100" w:type="dxa"/>
              <w:right w:w="120" w:type="dxa"/>
            </w:tcMar>
          </w:tcPr>
          <w:p w14:paraId="5270CADD" w14:textId="77777777" w:rsidR="005776EE" w:rsidRPr="00DE0942" w:rsidRDefault="005776EE" w:rsidP="00F06623">
            <w:pPr>
              <w:pStyle w:val="TableHeading"/>
            </w:pPr>
            <w:r w:rsidRPr="00DE0942">
              <w:t>Resource</w:t>
            </w:r>
          </w:p>
        </w:tc>
        <w:tc>
          <w:tcPr>
            <w:tcW w:w="5026" w:type="dxa"/>
            <w:shd w:val="clear" w:color="auto" w:fill="0F2D52"/>
            <w:tcMar>
              <w:top w:w="100" w:type="dxa"/>
              <w:left w:w="120" w:type="dxa"/>
              <w:bottom w:w="100" w:type="dxa"/>
              <w:right w:w="120" w:type="dxa"/>
            </w:tcMar>
          </w:tcPr>
          <w:p w14:paraId="4C235122" w14:textId="77777777" w:rsidR="005776EE" w:rsidRPr="00DE0942" w:rsidRDefault="005776EE" w:rsidP="00F06623">
            <w:pPr>
              <w:pStyle w:val="TableHeading"/>
            </w:pPr>
            <w:r w:rsidRPr="00DE0942">
              <w:t>Description / Use</w:t>
            </w:r>
          </w:p>
        </w:tc>
      </w:tr>
      <w:tr w:rsidR="005776EE" w14:paraId="3B0EE58C" w14:textId="77777777" w:rsidTr="00360D72">
        <w:tc>
          <w:tcPr>
            <w:tcW w:w="4000" w:type="dxa"/>
            <w:tcBorders>
              <w:bottom w:val="single" w:sz="4" w:space="0" w:color="auto"/>
            </w:tcBorders>
            <w:tcMar>
              <w:top w:w="100" w:type="dxa"/>
              <w:left w:w="120" w:type="dxa"/>
              <w:bottom w:w="100" w:type="dxa"/>
              <w:right w:w="120" w:type="dxa"/>
            </w:tcMar>
          </w:tcPr>
          <w:p w14:paraId="63FE4D1E" w14:textId="77777777" w:rsidR="005776EE" w:rsidRDefault="005776EE" w:rsidP="00F06623">
            <w:pPr>
              <w:pStyle w:val="Tablecontent"/>
            </w:pPr>
            <w:r>
              <w:t>Australian Privacy Principles Guidelines</w:t>
            </w:r>
          </w:p>
        </w:tc>
        <w:tc>
          <w:tcPr>
            <w:tcW w:w="5026" w:type="dxa"/>
            <w:tcBorders>
              <w:bottom w:val="single" w:sz="4" w:space="0" w:color="auto"/>
            </w:tcBorders>
            <w:tcMar>
              <w:top w:w="100" w:type="dxa"/>
              <w:left w:w="120" w:type="dxa"/>
              <w:bottom w:w="100" w:type="dxa"/>
              <w:right w:w="120" w:type="dxa"/>
            </w:tcMar>
          </w:tcPr>
          <w:p w14:paraId="2DE165E6" w14:textId="77777777" w:rsidR="005776EE" w:rsidRDefault="005776EE" w:rsidP="00F06623">
            <w:pPr>
              <w:pStyle w:val="Tablecontent"/>
            </w:pPr>
            <w:r>
              <w:t>Comprehensive guidance on interpreting and applying each APP. Essential reference for understanding APP requirements.</w:t>
            </w:r>
          </w:p>
        </w:tc>
      </w:tr>
      <w:tr w:rsidR="005776EE" w14:paraId="76D19181" w14:textId="77777777" w:rsidTr="00360D72">
        <w:tc>
          <w:tcPr>
            <w:tcW w:w="4000" w:type="dxa"/>
            <w:tcBorders>
              <w:top w:val="single" w:sz="4" w:space="0" w:color="auto"/>
              <w:bottom w:val="single" w:sz="4" w:space="0" w:color="auto"/>
            </w:tcBorders>
            <w:tcMar>
              <w:top w:w="100" w:type="dxa"/>
              <w:left w:w="120" w:type="dxa"/>
              <w:bottom w:w="100" w:type="dxa"/>
              <w:right w:w="120" w:type="dxa"/>
            </w:tcMar>
          </w:tcPr>
          <w:p w14:paraId="45890027" w14:textId="77777777" w:rsidR="005776EE" w:rsidRDefault="005776EE" w:rsidP="00F06623">
            <w:pPr>
              <w:pStyle w:val="Tablecontent"/>
            </w:pPr>
            <w:r>
              <w:t>Guide to developing an APP privacy policy</w:t>
            </w:r>
          </w:p>
        </w:tc>
        <w:tc>
          <w:tcPr>
            <w:tcW w:w="5026" w:type="dxa"/>
            <w:tcBorders>
              <w:top w:val="single" w:sz="4" w:space="0" w:color="auto"/>
              <w:bottom w:val="single" w:sz="4" w:space="0" w:color="auto"/>
            </w:tcBorders>
            <w:tcMar>
              <w:top w:w="100" w:type="dxa"/>
              <w:left w:w="120" w:type="dxa"/>
              <w:bottom w:w="100" w:type="dxa"/>
              <w:right w:w="120" w:type="dxa"/>
            </w:tcMar>
          </w:tcPr>
          <w:p w14:paraId="33D7BF45" w14:textId="77777777" w:rsidR="005776EE" w:rsidRDefault="005776EE" w:rsidP="00F06623">
            <w:pPr>
              <w:pStyle w:val="Tablecontent"/>
            </w:pPr>
            <w:r>
              <w:t>Detailed guidance on privacy policy content and drafting. Use when developing or reviewing your privacy policy.</w:t>
            </w:r>
          </w:p>
        </w:tc>
      </w:tr>
      <w:tr w:rsidR="005776EE" w14:paraId="42861862" w14:textId="77777777" w:rsidTr="00360D72">
        <w:tc>
          <w:tcPr>
            <w:tcW w:w="4000" w:type="dxa"/>
            <w:tcBorders>
              <w:top w:val="single" w:sz="4" w:space="0" w:color="auto"/>
              <w:bottom w:val="single" w:sz="4" w:space="0" w:color="auto"/>
            </w:tcBorders>
            <w:tcMar>
              <w:top w:w="100" w:type="dxa"/>
              <w:left w:w="120" w:type="dxa"/>
              <w:bottom w:w="100" w:type="dxa"/>
              <w:right w:w="120" w:type="dxa"/>
            </w:tcMar>
          </w:tcPr>
          <w:p w14:paraId="60C80117" w14:textId="77777777" w:rsidR="005776EE" w:rsidRDefault="005776EE" w:rsidP="00F06623">
            <w:pPr>
              <w:pStyle w:val="Tablecontent"/>
            </w:pPr>
            <w:r>
              <w:t>Guide to securing personal information</w:t>
            </w:r>
          </w:p>
        </w:tc>
        <w:tc>
          <w:tcPr>
            <w:tcW w:w="5026" w:type="dxa"/>
            <w:tcBorders>
              <w:top w:val="single" w:sz="4" w:space="0" w:color="auto"/>
              <w:bottom w:val="single" w:sz="4" w:space="0" w:color="auto"/>
            </w:tcBorders>
            <w:tcMar>
              <w:top w:w="100" w:type="dxa"/>
              <w:left w:w="120" w:type="dxa"/>
              <w:bottom w:w="100" w:type="dxa"/>
              <w:right w:w="120" w:type="dxa"/>
            </w:tcMar>
          </w:tcPr>
          <w:p w14:paraId="73DEB9AD" w14:textId="77777777" w:rsidR="005776EE" w:rsidRDefault="005776EE" w:rsidP="00F06623">
            <w:pPr>
              <w:pStyle w:val="Tablecontent"/>
            </w:pPr>
            <w:r>
              <w:t>Guidance on reasonable security measures under APP 11. Reference for security implementation.</w:t>
            </w:r>
          </w:p>
        </w:tc>
      </w:tr>
      <w:tr w:rsidR="005776EE" w14:paraId="4D35777A" w14:textId="77777777" w:rsidTr="00360D72">
        <w:tc>
          <w:tcPr>
            <w:tcW w:w="4000" w:type="dxa"/>
            <w:tcBorders>
              <w:top w:val="single" w:sz="4" w:space="0" w:color="auto"/>
              <w:bottom w:val="single" w:sz="4" w:space="0" w:color="auto"/>
            </w:tcBorders>
            <w:tcMar>
              <w:top w:w="100" w:type="dxa"/>
              <w:left w:w="120" w:type="dxa"/>
              <w:bottom w:w="100" w:type="dxa"/>
              <w:right w:w="120" w:type="dxa"/>
            </w:tcMar>
          </w:tcPr>
          <w:p w14:paraId="2D624F3B" w14:textId="77777777" w:rsidR="005776EE" w:rsidRDefault="005776EE" w:rsidP="00F06623">
            <w:pPr>
              <w:pStyle w:val="Tablecontent"/>
            </w:pPr>
            <w:r>
              <w:t>Data breach preparation and response</w:t>
            </w:r>
          </w:p>
        </w:tc>
        <w:tc>
          <w:tcPr>
            <w:tcW w:w="5026" w:type="dxa"/>
            <w:tcBorders>
              <w:top w:val="single" w:sz="4" w:space="0" w:color="auto"/>
              <w:bottom w:val="single" w:sz="4" w:space="0" w:color="auto"/>
            </w:tcBorders>
            <w:tcMar>
              <w:top w:w="100" w:type="dxa"/>
              <w:left w:w="120" w:type="dxa"/>
              <w:bottom w:w="100" w:type="dxa"/>
              <w:right w:w="120" w:type="dxa"/>
            </w:tcMar>
          </w:tcPr>
          <w:p w14:paraId="2F8645EE" w14:textId="77777777" w:rsidR="005776EE" w:rsidRDefault="005776EE" w:rsidP="00F06623">
            <w:pPr>
              <w:pStyle w:val="Tablecontent"/>
            </w:pPr>
            <w:r>
              <w:t>Guidance on NDB scheme compliance. Essential for breach response planning.</w:t>
            </w:r>
          </w:p>
        </w:tc>
      </w:tr>
      <w:tr w:rsidR="005776EE" w14:paraId="3EAF9D67" w14:textId="77777777" w:rsidTr="00360D72">
        <w:tc>
          <w:tcPr>
            <w:tcW w:w="4000" w:type="dxa"/>
            <w:tcBorders>
              <w:top w:val="single" w:sz="4" w:space="0" w:color="auto"/>
              <w:bottom w:val="single" w:sz="4" w:space="0" w:color="auto"/>
            </w:tcBorders>
            <w:tcMar>
              <w:top w:w="100" w:type="dxa"/>
              <w:left w:w="120" w:type="dxa"/>
              <w:bottom w:w="100" w:type="dxa"/>
              <w:right w:w="120" w:type="dxa"/>
            </w:tcMar>
          </w:tcPr>
          <w:p w14:paraId="1735701E" w14:textId="77777777" w:rsidR="005776EE" w:rsidRDefault="005776EE" w:rsidP="00F06623">
            <w:pPr>
              <w:pStyle w:val="Tablecontent"/>
            </w:pPr>
            <w:r>
              <w:t>Privacy management framework</w:t>
            </w:r>
          </w:p>
        </w:tc>
        <w:tc>
          <w:tcPr>
            <w:tcW w:w="5026" w:type="dxa"/>
            <w:tcBorders>
              <w:top w:val="single" w:sz="4" w:space="0" w:color="auto"/>
              <w:bottom w:val="single" w:sz="4" w:space="0" w:color="auto"/>
            </w:tcBorders>
            <w:tcMar>
              <w:top w:w="100" w:type="dxa"/>
              <w:left w:w="120" w:type="dxa"/>
              <w:bottom w:w="100" w:type="dxa"/>
              <w:right w:w="120" w:type="dxa"/>
            </w:tcMar>
          </w:tcPr>
          <w:p w14:paraId="781AFED8" w14:textId="77777777" w:rsidR="005776EE" w:rsidRDefault="005776EE" w:rsidP="00F06623">
            <w:pPr>
              <w:pStyle w:val="Tablecontent"/>
            </w:pPr>
            <w:r>
              <w:t>Framework for establishing and maintaining privacy compliance. Useful for governance and implementation.</w:t>
            </w:r>
          </w:p>
        </w:tc>
      </w:tr>
      <w:tr w:rsidR="005776EE" w14:paraId="2EA84339" w14:textId="77777777" w:rsidTr="00360D72">
        <w:tc>
          <w:tcPr>
            <w:tcW w:w="4000" w:type="dxa"/>
            <w:tcBorders>
              <w:top w:val="single" w:sz="4" w:space="0" w:color="auto"/>
              <w:bottom w:val="single" w:sz="4" w:space="0" w:color="auto"/>
            </w:tcBorders>
            <w:tcMar>
              <w:top w:w="100" w:type="dxa"/>
              <w:left w:w="120" w:type="dxa"/>
              <w:bottom w:w="100" w:type="dxa"/>
              <w:right w:w="120" w:type="dxa"/>
            </w:tcMar>
          </w:tcPr>
          <w:p w14:paraId="723658D9" w14:textId="77777777" w:rsidR="005776EE" w:rsidRDefault="005776EE" w:rsidP="00F06623">
            <w:pPr>
              <w:pStyle w:val="Tablecontent"/>
            </w:pPr>
            <w:r>
              <w:t>Guide to undertaking privacy impact assessments</w:t>
            </w:r>
          </w:p>
        </w:tc>
        <w:tc>
          <w:tcPr>
            <w:tcW w:w="5026" w:type="dxa"/>
            <w:tcBorders>
              <w:top w:val="single" w:sz="4" w:space="0" w:color="auto"/>
              <w:bottom w:val="single" w:sz="4" w:space="0" w:color="auto"/>
            </w:tcBorders>
            <w:tcMar>
              <w:top w:w="100" w:type="dxa"/>
              <w:left w:w="120" w:type="dxa"/>
              <w:bottom w:w="100" w:type="dxa"/>
              <w:right w:w="120" w:type="dxa"/>
            </w:tcMar>
          </w:tcPr>
          <w:p w14:paraId="29FB7445" w14:textId="77777777" w:rsidR="005776EE" w:rsidRDefault="005776EE" w:rsidP="00F06623">
            <w:pPr>
              <w:pStyle w:val="Tablecontent"/>
            </w:pPr>
            <w:r>
              <w:t>Guidance on when and how to conduct PIAs. Reference for PIA process.</w:t>
            </w:r>
          </w:p>
        </w:tc>
      </w:tr>
      <w:tr w:rsidR="005776EE" w14:paraId="12AA3448" w14:textId="77777777" w:rsidTr="00360D72">
        <w:tc>
          <w:tcPr>
            <w:tcW w:w="4000" w:type="dxa"/>
            <w:tcBorders>
              <w:top w:val="single" w:sz="4" w:space="0" w:color="auto"/>
              <w:bottom w:val="single" w:sz="4" w:space="0" w:color="auto"/>
            </w:tcBorders>
            <w:tcMar>
              <w:top w:w="100" w:type="dxa"/>
              <w:left w:w="120" w:type="dxa"/>
              <w:bottom w:w="100" w:type="dxa"/>
              <w:right w:w="120" w:type="dxa"/>
            </w:tcMar>
          </w:tcPr>
          <w:p w14:paraId="0827B87A" w14:textId="77777777" w:rsidR="005776EE" w:rsidRDefault="005776EE" w:rsidP="00F06623">
            <w:pPr>
              <w:pStyle w:val="Tablecontent"/>
            </w:pPr>
            <w:r>
              <w:t>Privacy complaint handling</w:t>
            </w:r>
          </w:p>
        </w:tc>
        <w:tc>
          <w:tcPr>
            <w:tcW w:w="5026" w:type="dxa"/>
            <w:tcBorders>
              <w:top w:val="single" w:sz="4" w:space="0" w:color="auto"/>
              <w:bottom w:val="single" w:sz="4" w:space="0" w:color="auto"/>
            </w:tcBorders>
            <w:tcMar>
              <w:top w:w="100" w:type="dxa"/>
              <w:left w:w="120" w:type="dxa"/>
              <w:bottom w:w="100" w:type="dxa"/>
              <w:right w:w="120" w:type="dxa"/>
            </w:tcMar>
          </w:tcPr>
          <w:p w14:paraId="76DCE0D5" w14:textId="77777777" w:rsidR="005776EE" w:rsidRDefault="005776EE" w:rsidP="00F06623">
            <w:pPr>
              <w:pStyle w:val="Tablecontent"/>
            </w:pPr>
            <w:r>
              <w:t>Guidance on internal complaint handling processes. Reference for complaint process design.</w:t>
            </w:r>
          </w:p>
        </w:tc>
      </w:tr>
      <w:tr w:rsidR="005776EE" w14:paraId="04A6AE74" w14:textId="77777777" w:rsidTr="00360D72">
        <w:tc>
          <w:tcPr>
            <w:tcW w:w="4000" w:type="dxa"/>
            <w:tcBorders>
              <w:top w:val="single" w:sz="4" w:space="0" w:color="auto"/>
              <w:bottom w:val="single" w:sz="4" w:space="0" w:color="auto"/>
            </w:tcBorders>
            <w:tcMar>
              <w:top w:w="100" w:type="dxa"/>
              <w:left w:w="120" w:type="dxa"/>
              <w:bottom w:w="100" w:type="dxa"/>
              <w:right w:w="120" w:type="dxa"/>
            </w:tcMar>
          </w:tcPr>
          <w:p w14:paraId="26A46D06" w14:textId="77777777" w:rsidR="005776EE" w:rsidRDefault="005776EE" w:rsidP="00F06623">
            <w:pPr>
              <w:pStyle w:val="Tablecontent"/>
            </w:pPr>
            <w:r>
              <w:t>Notifiable Data Breach form</w:t>
            </w:r>
          </w:p>
        </w:tc>
        <w:tc>
          <w:tcPr>
            <w:tcW w:w="5026" w:type="dxa"/>
            <w:tcBorders>
              <w:top w:val="single" w:sz="4" w:space="0" w:color="auto"/>
              <w:bottom w:val="single" w:sz="4" w:space="0" w:color="auto"/>
            </w:tcBorders>
            <w:tcMar>
              <w:top w:w="100" w:type="dxa"/>
              <w:left w:w="120" w:type="dxa"/>
              <w:bottom w:w="100" w:type="dxa"/>
              <w:right w:w="120" w:type="dxa"/>
            </w:tcMar>
          </w:tcPr>
          <w:p w14:paraId="0CF741DF" w14:textId="77777777" w:rsidR="005776EE" w:rsidRDefault="005776EE" w:rsidP="00F06623">
            <w:pPr>
              <w:pStyle w:val="Tablecontent"/>
            </w:pPr>
            <w:r>
              <w:t>Online form for notifying eligible data breaches. Bookmark for breach response.</w:t>
            </w:r>
          </w:p>
        </w:tc>
      </w:tr>
      <w:tr w:rsidR="001A2A80" w14:paraId="55335304" w14:textId="77777777" w:rsidTr="00360D72">
        <w:tc>
          <w:tcPr>
            <w:tcW w:w="4000" w:type="dxa"/>
            <w:tcBorders>
              <w:top w:val="single" w:sz="4" w:space="0" w:color="auto"/>
              <w:bottom w:val="single" w:sz="4" w:space="0" w:color="auto"/>
            </w:tcBorders>
            <w:tcMar>
              <w:top w:w="100" w:type="dxa"/>
              <w:left w:w="120" w:type="dxa"/>
              <w:bottom w:w="100" w:type="dxa"/>
              <w:right w:w="120" w:type="dxa"/>
            </w:tcMar>
          </w:tcPr>
          <w:p w14:paraId="7C1D864E" w14:textId="312393DE" w:rsidR="001A2A80" w:rsidRDefault="00F87623" w:rsidP="00F06623">
            <w:pPr>
              <w:pStyle w:val="Tablecontent"/>
            </w:pPr>
            <w:r w:rsidRPr="00F87623">
              <w:t>Privacy guidance for reporting entities under the Anti-Money Laundering and Counter-Terrorism Financing Act</w:t>
            </w:r>
          </w:p>
        </w:tc>
        <w:tc>
          <w:tcPr>
            <w:tcW w:w="5026" w:type="dxa"/>
            <w:tcBorders>
              <w:top w:val="single" w:sz="4" w:space="0" w:color="auto"/>
              <w:bottom w:val="single" w:sz="4" w:space="0" w:color="auto"/>
            </w:tcBorders>
            <w:tcMar>
              <w:top w:w="100" w:type="dxa"/>
              <w:left w:w="120" w:type="dxa"/>
              <w:bottom w:w="100" w:type="dxa"/>
              <w:right w:w="120" w:type="dxa"/>
            </w:tcMar>
          </w:tcPr>
          <w:p w14:paraId="13B656F9" w14:textId="0CCB63B1" w:rsidR="001A2A80" w:rsidRDefault="00E66D14" w:rsidP="00F06623">
            <w:pPr>
              <w:pStyle w:val="Tablecontent"/>
            </w:pPr>
            <w:r>
              <w:t>Summary of the intersection between AML obligations and Privacy, with specific reference to the implications for Small Businesses.</w:t>
            </w:r>
          </w:p>
        </w:tc>
      </w:tr>
    </w:tbl>
    <w:p w14:paraId="7490120A" w14:textId="177A7D9F" w:rsidR="005776EE" w:rsidRDefault="005776EE" w:rsidP="00A30EAA">
      <w:pPr>
        <w:pStyle w:val="Body"/>
      </w:pPr>
      <w:r>
        <w:rPr>
          <w:b/>
          <w:bCs/>
        </w:rPr>
        <w:t>OAIC webs</w:t>
      </w:r>
      <w:r w:rsidR="00F06623">
        <w:rPr>
          <w:b/>
          <w:bCs/>
        </w:rPr>
        <w:t xml:space="preserve"> </w:t>
      </w:r>
      <w:proofErr w:type="spellStart"/>
      <w:r>
        <w:rPr>
          <w:b/>
          <w:bCs/>
        </w:rPr>
        <w:t>ite</w:t>
      </w:r>
      <w:proofErr w:type="spellEnd"/>
      <w:r>
        <w:rPr>
          <w:b/>
          <w:bCs/>
        </w:rPr>
        <w:t xml:space="preserve">: </w:t>
      </w:r>
      <w:r>
        <w:t>www.oaic.gov.au</w:t>
      </w:r>
      <w:r>
        <w:rPr>
          <w:rStyle w:val="FootnoteReference"/>
        </w:rPr>
        <w:footnoteReference w:id="184"/>
      </w:r>
    </w:p>
    <w:p w14:paraId="13D38586" w14:textId="4201D752" w:rsidR="00E67F6B" w:rsidRDefault="00E67F6B" w:rsidP="00A30EAA">
      <w:pPr>
        <w:pStyle w:val="Body"/>
      </w:pPr>
      <w:r>
        <w:t>Specific references used as the basis for information in this toolkit include:</w:t>
      </w:r>
    </w:p>
    <w:p w14:paraId="2B76FA50" w14:textId="77777777" w:rsidR="00B26822" w:rsidRDefault="00B26822">
      <w:pPr>
        <w:spacing w:after="0"/>
        <w:rPr>
          <w:b/>
          <w:color w:val="0F2D52"/>
          <w:sz w:val="28"/>
        </w:rPr>
      </w:pPr>
      <w:bookmarkStart w:id="390" w:name="_Toc220070014"/>
      <w:bookmarkStart w:id="391" w:name="_Toc220655155"/>
      <w:r>
        <w:br w:type="page"/>
      </w:r>
    </w:p>
    <w:p w14:paraId="561109C2" w14:textId="52874BE2" w:rsidR="005776EE" w:rsidRDefault="005776EE" w:rsidP="00A30EAA">
      <w:pPr>
        <w:pStyle w:val="NumberedHeading2"/>
      </w:pPr>
      <w:bookmarkStart w:id="392" w:name="_Toc231895245"/>
      <w:r>
        <w:lastRenderedPageBreak/>
        <w:t>Key Legislation</w:t>
      </w:r>
      <w:bookmarkEnd w:id="390"/>
      <w:bookmarkEnd w:id="391"/>
      <w:bookmarkEnd w:id="392"/>
    </w:p>
    <w:tbl>
      <w:tblPr>
        <w:tblW w:w="5000" w:type="pct"/>
        <w:tblCellMar>
          <w:left w:w="10" w:type="dxa"/>
          <w:right w:w="10" w:type="dxa"/>
        </w:tblCellMar>
        <w:tblLook w:val="04A0" w:firstRow="1" w:lastRow="0" w:firstColumn="1" w:lastColumn="0" w:noHBand="0" w:noVBand="1"/>
      </w:tblPr>
      <w:tblGrid>
        <w:gridCol w:w="4500"/>
        <w:gridCol w:w="4526"/>
      </w:tblGrid>
      <w:tr w:rsidR="005776EE" w14:paraId="50D4205C" w14:textId="77777777" w:rsidTr="00360D72">
        <w:tc>
          <w:tcPr>
            <w:tcW w:w="4500" w:type="dxa"/>
            <w:shd w:val="clear" w:color="auto" w:fill="0F2D52"/>
            <w:tcMar>
              <w:top w:w="100" w:type="dxa"/>
              <w:left w:w="120" w:type="dxa"/>
              <w:bottom w:w="100" w:type="dxa"/>
              <w:right w:w="120" w:type="dxa"/>
            </w:tcMar>
          </w:tcPr>
          <w:p w14:paraId="66B048B1" w14:textId="77777777" w:rsidR="005776EE" w:rsidRDefault="005776EE" w:rsidP="00F06623">
            <w:pPr>
              <w:pStyle w:val="TableHeading"/>
            </w:pPr>
            <w:r>
              <w:t>Legislation</w:t>
            </w:r>
          </w:p>
        </w:tc>
        <w:tc>
          <w:tcPr>
            <w:tcW w:w="4526" w:type="dxa"/>
            <w:shd w:val="clear" w:color="auto" w:fill="0F2D52"/>
            <w:tcMar>
              <w:top w:w="100" w:type="dxa"/>
              <w:left w:w="120" w:type="dxa"/>
              <w:bottom w:w="100" w:type="dxa"/>
              <w:right w:w="120" w:type="dxa"/>
            </w:tcMar>
          </w:tcPr>
          <w:p w14:paraId="13E199C0" w14:textId="77777777" w:rsidR="005776EE" w:rsidRDefault="005776EE" w:rsidP="00F06623">
            <w:pPr>
              <w:pStyle w:val="TableHeading"/>
            </w:pPr>
            <w:r>
              <w:t>Key Provisions</w:t>
            </w:r>
          </w:p>
        </w:tc>
      </w:tr>
      <w:tr w:rsidR="005776EE" w14:paraId="2560A3E1" w14:textId="77777777" w:rsidTr="00360D72">
        <w:tc>
          <w:tcPr>
            <w:tcW w:w="4500" w:type="dxa"/>
            <w:tcBorders>
              <w:bottom w:val="single" w:sz="4" w:space="0" w:color="auto"/>
            </w:tcBorders>
            <w:tcMar>
              <w:top w:w="100" w:type="dxa"/>
              <w:left w:w="120" w:type="dxa"/>
              <w:bottom w:w="100" w:type="dxa"/>
              <w:right w:w="120" w:type="dxa"/>
            </w:tcMar>
          </w:tcPr>
          <w:p w14:paraId="74EA3971" w14:textId="77777777" w:rsidR="005776EE" w:rsidRDefault="005776EE" w:rsidP="00F06623">
            <w:pPr>
              <w:pStyle w:val="Tablecontent"/>
            </w:pPr>
            <w:r>
              <w:t>Privacy Act 1988 (</w:t>
            </w:r>
            <w:proofErr w:type="spellStart"/>
            <w:r>
              <w:t>Cth</w:t>
            </w:r>
            <w:proofErr w:type="spellEnd"/>
            <w:r>
              <w:t>)</w:t>
            </w:r>
          </w:p>
        </w:tc>
        <w:tc>
          <w:tcPr>
            <w:tcW w:w="4526" w:type="dxa"/>
            <w:tcBorders>
              <w:bottom w:val="single" w:sz="4" w:space="0" w:color="auto"/>
            </w:tcBorders>
            <w:tcMar>
              <w:top w:w="100" w:type="dxa"/>
              <w:left w:w="120" w:type="dxa"/>
              <w:bottom w:w="100" w:type="dxa"/>
              <w:right w:w="120" w:type="dxa"/>
            </w:tcMar>
          </w:tcPr>
          <w:p w14:paraId="58AAA3F4" w14:textId="77777777" w:rsidR="005776EE" w:rsidRDefault="005776EE" w:rsidP="00F06623">
            <w:pPr>
              <w:pStyle w:val="Tablecontent"/>
            </w:pPr>
            <w:r>
              <w:t>Schedule 1 (APPs); Part IIIC (NDB scheme); Part V (enforcement)</w:t>
            </w:r>
          </w:p>
        </w:tc>
      </w:tr>
      <w:tr w:rsidR="005776EE" w14:paraId="5523817D" w14:textId="77777777" w:rsidTr="00360D72">
        <w:tc>
          <w:tcPr>
            <w:tcW w:w="4500" w:type="dxa"/>
            <w:tcBorders>
              <w:top w:val="single" w:sz="4" w:space="0" w:color="auto"/>
              <w:bottom w:val="single" w:sz="4" w:space="0" w:color="auto"/>
            </w:tcBorders>
            <w:tcMar>
              <w:top w:w="100" w:type="dxa"/>
              <w:left w:w="120" w:type="dxa"/>
              <w:bottom w:w="100" w:type="dxa"/>
              <w:right w:w="120" w:type="dxa"/>
            </w:tcMar>
          </w:tcPr>
          <w:p w14:paraId="077BB939" w14:textId="77777777" w:rsidR="005776EE" w:rsidRDefault="005776EE" w:rsidP="00F06623">
            <w:pPr>
              <w:pStyle w:val="Tablecontent"/>
            </w:pPr>
            <w:r>
              <w:t>Privacy and Other Legislation Amendment Act 2024 (</w:t>
            </w:r>
            <w:proofErr w:type="spellStart"/>
            <w:r>
              <w:t>Cth</w:t>
            </w:r>
            <w:proofErr w:type="spellEnd"/>
            <w:r>
              <w:t>)</w:t>
            </w:r>
          </w:p>
        </w:tc>
        <w:tc>
          <w:tcPr>
            <w:tcW w:w="4526" w:type="dxa"/>
            <w:tcBorders>
              <w:top w:val="single" w:sz="4" w:space="0" w:color="auto"/>
              <w:bottom w:val="single" w:sz="4" w:space="0" w:color="auto"/>
            </w:tcBorders>
            <w:tcMar>
              <w:top w:w="100" w:type="dxa"/>
              <w:left w:w="120" w:type="dxa"/>
              <w:bottom w:w="100" w:type="dxa"/>
              <w:right w:w="120" w:type="dxa"/>
            </w:tcMar>
          </w:tcPr>
          <w:p w14:paraId="307D61F3" w14:textId="77777777" w:rsidR="005776EE" w:rsidRDefault="005776EE" w:rsidP="00F06623">
            <w:pPr>
              <w:pStyle w:val="Tablecontent"/>
            </w:pPr>
            <w:r>
              <w:t>2024 amendments including automated decision-making disclosure (from Dec 2026)</w:t>
            </w:r>
          </w:p>
        </w:tc>
      </w:tr>
      <w:tr w:rsidR="005776EE" w14:paraId="20F5C234" w14:textId="77777777" w:rsidTr="00360D72">
        <w:tc>
          <w:tcPr>
            <w:tcW w:w="4500" w:type="dxa"/>
            <w:tcBorders>
              <w:top w:val="single" w:sz="4" w:space="0" w:color="auto"/>
              <w:bottom w:val="single" w:sz="4" w:space="0" w:color="auto"/>
            </w:tcBorders>
            <w:tcMar>
              <w:top w:w="100" w:type="dxa"/>
              <w:left w:w="120" w:type="dxa"/>
              <w:bottom w:w="100" w:type="dxa"/>
              <w:right w:w="120" w:type="dxa"/>
            </w:tcMar>
          </w:tcPr>
          <w:p w14:paraId="4E2B8CEC" w14:textId="77777777" w:rsidR="005776EE" w:rsidRDefault="005776EE" w:rsidP="00F06623">
            <w:pPr>
              <w:pStyle w:val="Tablecontent"/>
            </w:pPr>
            <w:r>
              <w:t>Anti-Money Laundering and Counter-Terrorism Financing Act 2006 (</w:t>
            </w:r>
            <w:proofErr w:type="spellStart"/>
            <w:r>
              <w:t>Cth</w:t>
            </w:r>
            <w:proofErr w:type="spellEnd"/>
            <w:r>
              <w:t>)</w:t>
            </w:r>
          </w:p>
        </w:tc>
        <w:tc>
          <w:tcPr>
            <w:tcW w:w="4526" w:type="dxa"/>
            <w:tcBorders>
              <w:top w:val="single" w:sz="4" w:space="0" w:color="auto"/>
              <w:bottom w:val="single" w:sz="4" w:space="0" w:color="auto"/>
            </w:tcBorders>
            <w:tcMar>
              <w:top w:w="100" w:type="dxa"/>
              <w:left w:w="120" w:type="dxa"/>
              <w:bottom w:w="100" w:type="dxa"/>
              <w:right w:w="120" w:type="dxa"/>
            </w:tcMar>
          </w:tcPr>
          <w:p w14:paraId="77CA24E1" w14:textId="77777777" w:rsidR="005776EE" w:rsidRDefault="005776EE" w:rsidP="00F06623">
            <w:pPr>
              <w:pStyle w:val="Tablecontent"/>
            </w:pPr>
            <w:r>
              <w:t>Part 2 (CDD); s 84 (AML/CTF programs); s 107 (record retention); s 123 (tipping off)</w:t>
            </w:r>
          </w:p>
        </w:tc>
      </w:tr>
      <w:tr w:rsidR="005776EE" w14:paraId="27772ED7" w14:textId="77777777" w:rsidTr="00360D72">
        <w:tc>
          <w:tcPr>
            <w:tcW w:w="4500" w:type="dxa"/>
            <w:tcBorders>
              <w:top w:val="single" w:sz="4" w:space="0" w:color="auto"/>
              <w:bottom w:val="single" w:sz="4" w:space="0" w:color="auto"/>
            </w:tcBorders>
            <w:tcMar>
              <w:top w:w="100" w:type="dxa"/>
              <w:left w:w="120" w:type="dxa"/>
              <w:bottom w:w="100" w:type="dxa"/>
              <w:right w:w="120" w:type="dxa"/>
            </w:tcMar>
          </w:tcPr>
          <w:p w14:paraId="0F27FF1D" w14:textId="77777777" w:rsidR="005776EE" w:rsidRDefault="005776EE" w:rsidP="00F06623">
            <w:pPr>
              <w:pStyle w:val="Tablecontent"/>
            </w:pPr>
            <w:r>
              <w:t>Anti-Money Laundering and Counter-Terrorism Financing Amendment Act 2024 (</w:t>
            </w:r>
            <w:proofErr w:type="spellStart"/>
            <w:r>
              <w:t>Cth</w:t>
            </w:r>
            <w:proofErr w:type="spellEnd"/>
            <w:r>
              <w:t>)</w:t>
            </w:r>
          </w:p>
        </w:tc>
        <w:tc>
          <w:tcPr>
            <w:tcW w:w="4526" w:type="dxa"/>
            <w:tcBorders>
              <w:top w:val="single" w:sz="4" w:space="0" w:color="auto"/>
              <w:bottom w:val="single" w:sz="4" w:space="0" w:color="auto"/>
            </w:tcBorders>
            <w:tcMar>
              <w:top w:w="100" w:type="dxa"/>
              <w:left w:w="120" w:type="dxa"/>
              <w:bottom w:w="100" w:type="dxa"/>
              <w:right w:w="120" w:type="dxa"/>
            </w:tcMar>
          </w:tcPr>
          <w:p w14:paraId="0C72B42F" w14:textId="77777777" w:rsidR="005776EE" w:rsidRDefault="005776EE" w:rsidP="00F06623">
            <w:pPr>
              <w:pStyle w:val="Tablecontent"/>
            </w:pPr>
            <w:r>
              <w:t>Tranche 2 reforms extending to professional services (from 1 July 2026)</w:t>
            </w:r>
          </w:p>
        </w:tc>
      </w:tr>
      <w:tr w:rsidR="005776EE" w14:paraId="6199719B" w14:textId="77777777" w:rsidTr="00360D72">
        <w:tc>
          <w:tcPr>
            <w:tcW w:w="4500" w:type="dxa"/>
            <w:tcBorders>
              <w:top w:val="single" w:sz="4" w:space="0" w:color="auto"/>
              <w:bottom w:val="single" w:sz="4" w:space="0" w:color="auto"/>
            </w:tcBorders>
            <w:tcMar>
              <w:top w:w="100" w:type="dxa"/>
              <w:left w:w="120" w:type="dxa"/>
              <w:bottom w:w="100" w:type="dxa"/>
              <w:right w:w="120" w:type="dxa"/>
            </w:tcMar>
          </w:tcPr>
          <w:p w14:paraId="224CB7B0" w14:textId="77777777" w:rsidR="005776EE" w:rsidRDefault="005776EE" w:rsidP="00F06623">
            <w:pPr>
              <w:pStyle w:val="Tablecontent"/>
            </w:pPr>
            <w:r>
              <w:t>Legal Profession Act 2007 (Qld)</w:t>
            </w:r>
          </w:p>
        </w:tc>
        <w:tc>
          <w:tcPr>
            <w:tcW w:w="4526" w:type="dxa"/>
            <w:tcBorders>
              <w:top w:val="single" w:sz="4" w:space="0" w:color="auto"/>
              <w:bottom w:val="single" w:sz="4" w:space="0" w:color="auto"/>
            </w:tcBorders>
            <w:tcMar>
              <w:top w:w="100" w:type="dxa"/>
              <w:left w:w="120" w:type="dxa"/>
              <w:bottom w:w="100" w:type="dxa"/>
              <w:right w:w="120" w:type="dxa"/>
            </w:tcMar>
          </w:tcPr>
          <w:p w14:paraId="742F9CA6" w14:textId="77777777" w:rsidR="005776EE" w:rsidRDefault="005776EE" w:rsidP="00F06623">
            <w:pPr>
              <w:pStyle w:val="Tablecontent"/>
            </w:pPr>
            <w:r>
              <w:t>Part 3.3 (trust accounts); s 258 (retention of trust records)</w:t>
            </w:r>
          </w:p>
        </w:tc>
      </w:tr>
      <w:tr w:rsidR="005776EE" w14:paraId="7B141158" w14:textId="77777777" w:rsidTr="00360D72">
        <w:tc>
          <w:tcPr>
            <w:tcW w:w="4500" w:type="dxa"/>
            <w:tcBorders>
              <w:top w:val="single" w:sz="4" w:space="0" w:color="auto"/>
              <w:bottom w:val="single" w:sz="4" w:space="0" w:color="auto"/>
            </w:tcBorders>
            <w:tcMar>
              <w:top w:w="100" w:type="dxa"/>
              <w:left w:w="120" w:type="dxa"/>
              <w:bottom w:w="100" w:type="dxa"/>
              <w:right w:w="120" w:type="dxa"/>
            </w:tcMar>
          </w:tcPr>
          <w:p w14:paraId="56A83753" w14:textId="77777777" w:rsidR="005776EE" w:rsidRDefault="005776EE" w:rsidP="00F06623">
            <w:pPr>
              <w:pStyle w:val="Tablecontent"/>
            </w:pPr>
            <w:r>
              <w:t>Australian Solicitors' Conduct Rules 2012 (Qld)</w:t>
            </w:r>
          </w:p>
        </w:tc>
        <w:tc>
          <w:tcPr>
            <w:tcW w:w="4526" w:type="dxa"/>
            <w:tcBorders>
              <w:top w:val="single" w:sz="4" w:space="0" w:color="auto"/>
              <w:bottom w:val="single" w:sz="4" w:space="0" w:color="auto"/>
            </w:tcBorders>
            <w:tcMar>
              <w:top w:w="100" w:type="dxa"/>
              <w:left w:w="120" w:type="dxa"/>
              <w:bottom w:w="100" w:type="dxa"/>
              <w:right w:w="120" w:type="dxa"/>
            </w:tcMar>
          </w:tcPr>
          <w:p w14:paraId="0E5F5A33" w14:textId="77777777" w:rsidR="005776EE" w:rsidRDefault="005776EE" w:rsidP="00F06623">
            <w:pPr>
              <w:pStyle w:val="Tablecontent"/>
            </w:pPr>
            <w:r>
              <w:t>Rule 9 (confidentiality); Rule 13 (competence and diligence)</w:t>
            </w:r>
          </w:p>
        </w:tc>
      </w:tr>
    </w:tbl>
    <w:p w14:paraId="76A6ADF1" w14:textId="77777777" w:rsidR="005776EE" w:rsidRDefault="005776EE" w:rsidP="00A30EAA">
      <w:pPr>
        <w:pStyle w:val="Body"/>
      </w:pPr>
      <w:r>
        <w:t>Federal Register of Legislation: www.legislation.gov.au</w:t>
      </w:r>
    </w:p>
    <w:p w14:paraId="736BE97D" w14:textId="7DC42C58" w:rsidR="005776EE" w:rsidRDefault="005776EE" w:rsidP="00A30EAA">
      <w:pPr>
        <w:pStyle w:val="NumberedHeading2"/>
      </w:pPr>
      <w:bookmarkStart w:id="393" w:name="_Toc220070015"/>
      <w:bookmarkStart w:id="394" w:name="_Toc220655156"/>
      <w:bookmarkStart w:id="395" w:name="_Toc231895246"/>
      <w:r>
        <w:t>Other Useful Resources</w:t>
      </w:r>
      <w:bookmarkEnd w:id="393"/>
      <w:bookmarkEnd w:id="394"/>
      <w:bookmarkEnd w:id="395"/>
    </w:p>
    <w:p w14:paraId="0DE952D4" w14:textId="77777777" w:rsidR="005776EE" w:rsidRDefault="005776EE" w:rsidP="00A30EAA">
      <w:pPr>
        <w:pStyle w:val="Body"/>
      </w:pPr>
      <w:r>
        <w:rPr>
          <w:b/>
          <w:bCs/>
        </w:rPr>
        <w:t xml:space="preserve">AUSTRAC: </w:t>
      </w:r>
      <w:r>
        <w:t>AML/CTF guidance for professional services sector — www.austrac.gov.au</w:t>
      </w:r>
      <w:r>
        <w:rPr>
          <w:rStyle w:val="FootnoteReference"/>
        </w:rPr>
        <w:footnoteReference w:id="185"/>
      </w:r>
    </w:p>
    <w:p w14:paraId="4B1B5094" w14:textId="77777777" w:rsidR="005776EE" w:rsidRDefault="005776EE" w:rsidP="00A30EAA">
      <w:pPr>
        <w:pStyle w:val="Body"/>
      </w:pPr>
      <w:r>
        <w:rPr>
          <w:b/>
          <w:bCs/>
        </w:rPr>
        <w:t xml:space="preserve">Queensland Law Society: </w:t>
      </w:r>
      <w:r>
        <w:t>Practice support resources including file retention guidance — www.qls.com.au</w:t>
      </w:r>
      <w:r>
        <w:rPr>
          <w:rStyle w:val="FootnoteReference"/>
        </w:rPr>
        <w:footnoteReference w:id="186"/>
      </w:r>
    </w:p>
    <w:p w14:paraId="71EF1521" w14:textId="77777777" w:rsidR="005776EE" w:rsidRDefault="005776EE" w:rsidP="00A30EAA">
      <w:pPr>
        <w:pStyle w:val="Body"/>
      </w:pPr>
      <w:r>
        <w:rPr>
          <w:b/>
          <w:bCs/>
        </w:rPr>
        <w:t xml:space="preserve">Australian Cyber Security Centre: </w:t>
      </w:r>
      <w:r>
        <w:t>Essential Eight and cybersecurity guidance — www.cyber.gov.au</w:t>
      </w:r>
    </w:p>
    <w:p w14:paraId="7C0A8B3F" w14:textId="77777777" w:rsidR="005776EE" w:rsidRDefault="005776EE" w:rsidP="00A30EAA">
      <w:pPr>
        <w:pStyle w:val="Body"/>
      </w:pPr>
      <w:r>
        <w:rPr>
          <w:b/>
          <w:bCs/>
        </w:rPr>
        <w:t xml:space="preserve">IDCARE: </w:t>
      </w:r>
      <w:r>
        <w:t>National identity and cyber support service for breach victims — www.idcare.org</w:t>
      </w:r>
    </w:p>
    <w:p w14:paraId="337377D4" w14:textId="589DDF50" w:rsidR="005776EE" w:rsidRDefault="005776EE" w:rsidP="00B8098D">
      <w:pPr>
        <w:pStyle w:val="NumberedHeading1"/>
      </w:pPr>
      <w:r>
        <w:br w:type="page"/>
      </w:r>
      <w:bookmarkStart w:id="396" w:name="_Toc220070016"/>
      <w:bookmarkStart w:id="397" w:name="_Toc220655157"/>
      <w:bookmarkStart w:id="398" w:name="_Toc231895247"/>
      <w:r>
        <w:lastRenderedPageBreak/>
        <w:t>Glossary of Key Terms</w:t>
      </w:r>
      <w:bookmarkEnd w:id="396"/>
      <w:bookmarkEnd w:id="397"/>
      <w:bookmarkEnd w:id="398"/>
    </w:p>
    <w:p w14:paraId="6FC8BDAE" w14:textId="77777777" w:rsidR="005776EE" w:rsidRDefault="005776EE" w:rsidP="00A30EAA">
      <w:pPr>
        <w:pStyle w:val="Body"/>
      </w:pPr>
      <w:r>
        <w:t>This glossary defines key terms used throughout this manual and in privacy compliance generally.</w:t>
      </w:r>
    </w:p>
    <w:tbl>
      <w:tblPr>
        <w:tblW w:w="5000" w:type="pct"/>
        <w:tblCellMar>
          <w:left w:w="10" w:type="dxa"/>
          <w:right w:w="10" w:type="dxa"/>
        </w:tblCellMar>
        <w:tblLook w:val="04A0" w:firstRow="1" w:lastRow="0" w:firstColumn="1" w:lastColumn="0" w:noHBand="0" w:noVBand="1"/>
      </w:tblPr>
      <w:tblGrid>
        <w:gridCol w:w="2200"/>
        <w:gridCol w:w="6826"/>
      </w:tblGrid>
      <w:tr w:rsidR="005776EE" w14:paraId="6ABD8861" w14:textId="77777777" w:rsidTr="00360D72">
        <w:tc>
          <w:tcPr>
            <w:tcW w:w="2200" w:type="dxa"/>
            <w:shd w:val="clear" w:color="auto" w:fill="0F2D52"/>
            <w:tcMar>
              <w:top w:w="100" w:type="dxa"/>
              <w:left w:w="120" w:type="dxa"/>
              <w:bottom w:w="100" w:type="dxa"/>
              <w:right w:w="120" w:type="dxa"/>
            </w:tcMar>
          </w:tcPr>
          <w:p w14:paraId="0321A8DC" w14:textId="77777777" w:rsidR="005776EE" w:rsidRDefault="005776EE" w:rsidP="00F06623">
            <w:pPr>
              <w:pStyle w:val="TableHeading"/>
            </w:pPr>
            <w:r>
              <w:t>Term</w:t>
            </w:r>
          </w:p>
        </w:tc>
        <w:tc>
          <w:tcPr>
            <w:tcW w:w="6826" w:type="dxa"/>
            <w:shd w:val="clear" w:color="auto" w:fill="0F2D52"/>
            <w:tcMar>
              <w:top w:w="100" w:type="dxa"/>
              <w:left w:w="120" w:type="dxa"/>
              <w:bottom w:w="100" w:type="dxa"/>
              <w:right w:w="120" w:type="dxa"/>
            </w:tcMar>
          </w:tcPr>
          <w:p w14:paraId="3D57C216" w14:textId="77777777" w:rsidR="005776EE" w:rsidRDefault="005776EE" w:rsidP="00F06623">
            <w:pPr>
              <w:pStyle w:val="TableHeading"/>
            </w:pPr>
            <w:r>
              <w:t>Definition</w:t>
            </w:r>
          </w:p>
        </w:tc>
      </w:tr>
      <w:tr w:rsidR="005776EE" w14:paraId="7F71AFB9" w14:textId="77777777" w:rsidTr="00360D72">
        <w:tc>
          <w:tcPr>
            <w:tcW w:w="2200" w:type="dxa"/>
            <w:tcBorders>
              <w:bottom w:val="single" w:sz="4" w:space="0" w:color="auto"/>
            </w:tcBorders>
            <w:tcMar>
              <w:top w:w="100" w:type="dxa"/>
              <w:left w:w="120" w:type="dxa"/>
              <w:bottom w:w="100" w:type="dxa"/>
              <w:right w:w="120" w:type="dxa"/>
            </w:tcMar>
          </w:tcPr>
          <w:p w14:paraId="0425DF89" w14:textId="77777777" w:rsidR="005776EE" w:rsidRDefault="005776EE" w:rsidP="00F06623">
            <w:pPr>
              <w:pStyle w:val="Tablecontent"/>
            </w:pPr>
            <w:r>
              <w:t>APP</w:t>
            </w:r>
          </w:p>
        </w:tc>
        <w:tc>
          <w:tcPr>
            <w:tcW w:w="6826" w:type="dxa"/>
            <w:tcBorders>
              <w:bottom w:val="single" w:sz="4" w:space="0" w:color="auto"/>
            </w:tcBorders>
            <w:tcMar>
              <w:top w:w="100" w:type="dxa"/>
              <w:left w:w="120" w:type="dxa"/>
              <w:bottom w:w="100" w:type="dxa"/>
              <w:right w:w="120" w:type="dxa"/>
            </w:tcMar>
          </w:tcPr>
          <w:p w14:paraId="3BFD4CA2" w14:textId="77777777" w:rsidR="005776EE" w:rsidRDefault="005776EE" w:rsidP="00F06623">
            <w:pPr>
              <w:pStyle w:val="Tablecontent"/>
            </w:pPr>
            <w:r>
              <w:t>Australian Privacy Principle — the 13 principles in Schedule 1 to the Privacy Act that govern handling of personal information by APP entities.</w:t>
            </w:r>
          </w:p>
        </w:tc>
      </w:tr>
      <w:tr w:rsidR="005776EE" w14:paraId="4623DFD9" w14:textId="77777777" w:rsidTr="00360D72">
        <w:tc>
          <w:tcPr>
            <w:tcW w:w="2200" w:type="dxa"/>
            <w:tcBorders>
              <w:top w:val="single" w:sz="4" w:space="0" w:color="auto"/>
              <w:bottom w:val="single" w:sz="4" w:space="0" w:color="auto"/>
            </w:tcBorders>
            <w:tcMar>
              <w:top w:w="100" w:type="dxa"/>
              <w:left w:w="120" w:type="dxa"/>
              <w:bottom w:w="100" w:type="dxa"/>
              <w:right w:w="120" w:type="dxa"/>
            </w:tcMar>
          </w:tcPr>
          <w:p w14:paraId="476F5A59" w14:textId="77777777" w:rsidR="005776EE" w:rsidRDefault="005776EE" w:rsidP="00F06623">
            <w:pPr>
              <w:pStyle w:val="Tablecontent"/>
            </w:pPr>
            <w:r>
              <w:t>APP entity</w:t>
            </w:r>
          </w:p>
        </w:tc>
        <w:tc>
          <w:tcPr>
            <w:tcW w:w="6826" w:type="dxa"/>
            <w:tcBorders>
              <w:top w:val="single" w:sz="4" w:space="0" w:color="auto"/>
              <w:bottom w:val="single" w:sz="4" w:space="0" w:color="auto"/>
            </w:tcBorders>
            <w:tcMar>
              <w:top w:w="100" w:type="dxa"/>
              <w:left w:w="120" w:type="dxa"/>
              <w:bottom w:w="100" w:type="dxa"/>
              <w:right w:w="120" w:type="dxa"/>
            </w:tcMar>
          </w:tcPr>
          <w:p w14:paraId="15E9D1D7" w14:textId="77777777" w:rsidR="005776EE" w:rsidRDefault="005776EE" w:rsidP="00F06623">
            <w:pPr>
              <w:pStyle w:val="Tablecontent"/>
            </w:pPr>
            <w:r>
              <w:t>An entity to which the APPs apply, including organisations (private sector) and agencies (government). Small businesses are generally exempt unless they fall within an exception (such as being an AML/CTF reporting entity).</w:t>
            </w:r>
          </w:p>
        </w:tc>
      </w:tr>
      <w:tr w:rsidR="005776EE" w14:paraId="74CE422D" w14:textId="77777777" w:rsidTr="00360D72">
        <w:tc>
          <w:tcPr>
            <w:tcW w:w="2200" w:type="dxa"/>
            <w:tcBorders>
              <w:top w:val="single" w:sz="4" w:space="0" w:color="auto"/>
              <w:bottom w:val="single" w:sz="4" w:space="0" w:color="auto"/>
            </w:tcBorders>
            <w:tcMar>
              <w:top w:w="100" w:type="dxa"/>
              <w:left w:w="120" w:type="dxa"/>
              <w:bottom w:w="100" w:type="dxa"/>
              <w:right w:w="120" w:type="dxa"/>
            </w:tcMar>
          </w:tcPr>
          <w:p w14:paraId="694F7141" w14:textId="77777777" w:rsidR="005776EE" w:rsidRDefault="005776EE" w:rsidP="00F06623">
            <w:pPr>
              <w:pStyle w:val="Tablecontent"/>
            </w:pPr>
            <w:r>
              <w:t>AML/CTF</w:t>
            </w:r>
          </w:p>
        </w:tc>
        <w:tc>
          <w:tcPr>
            <w:tcW w:w="6826" w:type="dxa"/>
            <w:tcBorders>
              <w:top w:val="single" w:sz="4" w:space="0" w:color="auto"/>
              <w:bottom w:val="single" w:sz="4" w:space="0" w:color="auto"/>
            </w:tcBorders>
            <w:tcMar>
              <w:top w:w="100" w:type="dxa"/>
              <w:left w:w="120" w:type="dxa"/>
              <w:bottom w:w="100" w:type="dxa"/>
              <w:right w:w="120" w:type="dxa"/>
            </w:tcMar>
          </w:tcPr>
          <w:p w14:paraId="27B8BA42" w14:textId="77777777" w:rsidR="005776EE" w:rsidRDefault="005776EE" w:rsidP="00F06623">
            <w:pPr>
              <w:pStyle w:val="Tablecontent"/>
            </w:pPr>
            <w:r>
              <w:t>Anti-Money Laundering and Counter-Terrorism Financing — the regulatory regime under the AML/CTF Act designed to prevent money laundering and terrorism financing.</w:t>
            </w:r>
          </w:p>
        </w:tc>
      </w:tr>
      <w:tr w:rsidR="005776EE" w14:paraId="09920DC8" w14:textId="77777777" w:rsidTr="00360D72">
        <w:tc>
          <w:tcPr>
            <w:tcW w:w="2200" w:type="dxa"/>
            <w:tcBorders>
              <w:top w:val="single" w:sz="4" w:space="0" w:color="auto"/>
              <w:bottom w:val="single" w:sz="4" w:space="0" w:color="auto"/>
            </w:tcBorders>
            <w:tcMar>
              <w:top w:w="100" w:type="dxa"/>
              <w:left w:w="120" w:type="dxa"/>
              <w:bottom w:w="100" w:type="dxa"/>
              <w:right w:w="120" w:type="dxa"/>
            </w:tcMar>
          </w:tcPr>
          <w:p w14:paraId="27CDAE23" w14:textId="77777777" w:rsidR="005776EE" w:rsidRDefault="005776EE" w:rsidP="00F06623">
            <w:pPr>
              <w:pStyle w:val="Tablecontent"/>
            </w:pPr>
            <w:r>
              <w:t>Collection</w:t>
            </w:r>
          </w:p>
        </w:tc>
        <w:tc>
          <w:tcPr>
            <w:tcW w:w="6826" w:type="dxa"/>
            <w:tcBorders>
              <w:top w:val="single" w:sz="4" w:space="0" w:color="auto"/>
              <w:bottom w:val="single" w:sz="4" w:space="0" w:color="auto"/>
            </w:tcBorders>
            <w:tcMar>
              <w:top w:w="100" w:type="dxa"/>
              <w:left w:w="120" w:type="dxa"/>
              <w:bottom w:w="100" w:type="dxa"/>
              <w:right w:w="120" w:type="dxa"/>
            </w:tcMar>
          </w:tcPr>
          <w:p w14:paraId="189E3CE0" w14:textId="77777777" w:rsidR="005776EE" w:rsidRDefault="005776EE" w:rsidP="00F06623">
            <w:pPr>
              <w:pStyle w:val="Tablecontent"/>
            </w:pPr>
            <w:r>
              <w:t>The gathering, acquiring, or obtaining of personal information from any source and by any means, including directly from individuals and from third parties.</w:t>
            </w:r>
          </w:p>
        </w:tc>
      </w:tr>
      <w:tr w:rsidR="005776EE" w14:paraId="37A7078C" w14:textId="77777777" w:rsidTr="00360D72">
        <w:tc>
          <w:tcPr>
            <w:tcW w:w="2200" w:type="dxa"/>
            <w:tcBorders>
              <w:top w:val="single" w:sz="4" w:space="0" w:color="auto"/>
              <w:bottom w:val="single" w:sz="4" w:space="0" w:color="auto"/>
            </w:tcBorders>
            <w:tcMar>
              <w:top w:w="100" w:type="dxa"/>
              <w:left w:w="120" w:type="dxa"/>
              <w:bottom w:w="100" w:type="dxa"/>
              <w:right w:w="120" w:type="dxa"/>
            </w:tcMar>
          </w:tcPr>
          <w:p w14:paraId="4327722B" w14:textId="77777777" w:rsidR="005776EE" w:rsidRDefault="005776EE" w:rsidP="00F06623">
            <w:pPr>
              <w:pStyle w:val="Tablecontent"/>
            </w:pPr>
            <w:r>
              <w:t>Consent</w:t>
            </w:r>
          </w:p>
        </w:tc>
        <w:tc>
          <w:tcPr>
            <w:tcW w:w="6826" w:type="dxa"/>
            <w:tcBorders>
              <w:top w:val="single" w:sz="4" w:space="0" w:color="auto"/>
              <w:bottom w:val="single" w:sz="4" w:space="0" w:color="auto"/>
            </w:tcBorders>
            <w:tcMar>
              <w:top w:w="100" w:type="dxa"/>
              <w:left w:w="120" w:type="dxa"/>
              <w:bottom w:w="100" w:type="dxa"/>
              <w:right w:w="120" w:type="dxa"/>
            </w:tcMar>
          </w:tcPr>
          <w:p w14:paraId="5B53C485" w14:textId="77777777" w:rsidR="005776EE" w:rsidRDefault="005776EE" w:rsidP="00F06623">
            <w:pPr>
              <w:pStyle w:val="Tablecontent"/>
            </w:pPr>
            <w:r>
              <w:t>Voluntary agreement to some act or practice. For privacy purposes, consent to collection, use or disclosure of personal information must be informed, voluntary, current and specific.</w:t>
            </w:r>
          </w:p>
        </w:tc>
      </w:tr>
      <w:tr w:rsidR="005776EE" w14:paraId="0BB70735" w14:textId="77777777" w:rsidTr="00360D72">
        <w:tc>
          <w:tcPr>
            <w:tcW w:w="2200" w:type="dxa"/>
            <w:tcBorders>
              <w:top w:val="single" w:sz="4" w:space="0" w:color="auto"/>
              <w:bottom w:val="single" w:sz="4" w:space="0" w:color="auto"/>
            </w:tcBorders>
            <w:tcMar>
              <w:top w:w="100" w:type="dxa"/>
              <w:left w:w="120" w:type="dxa"/>
              <w:bottom w:w="100" w:type="dxa"/>
              <w:right w:w="120" w:type="dxa"/>
            </w:tcMar>
          </w:tcPr>
          <w:p w14:paraId="1DD9488C" w14:textId="77777777" w:rsidR="005776EE" w:rsidRDefault="005776EE" w:rsidP="00F06623">
            <w:pPr>
              <w:pStyle w:val="Tablecontent"/>
            </w:pPr>
            <w:r>
              <w:t>Customer due diligence (CDD)</w:t>
            </w:r>
          </w:p>
        </w:tc>
        <w:tc>
          <w:tcPr>
            <w:tcW w:w="6826" w:type="dxa"/>
            <w:tcBorders>
              <w:top w:val="single" w:sz="4" w:space="0" w:color="auto"/>
              <w:bottom w:val="single" w:sz="4" w:space="0" w:color="auto"/>
            </w:tcBorders>
            <w:tcMar>
              <w:top w:w="100" w:type="dxa"/>
              <w:left w:w="120" w:type="dxa"/>
              <w:bottom w:w="100" w:type="dxa"/>
              <w:right w:w="120" w:type="dxa"/>
            </w:tcMar>
          </w:tcPr>
          <w:p w14:paraId="33C0EFA9" w14:textId="77777777" w:rsidR="005776EE" w:rsidRDefault="005776EE" w:rsidP="00F06623">
            <w:pPr>
              <w:pStyle w:val="Tablecontent"/>
            </w:pPr>
            <w:r>
              <w:t>The process of identifying and verifying the identity of customers, and understanding the nature of their business, as required by the AML/CTF Act.</w:t>
            </w:r>
          </w:p>
        </w:tc>
      </w:tr>
      <w:tr w:rsidR="005776EE" w14:paraId="3D1C3FA1" w14:textId="77777777" w:rsidTr="00360D72">
        <w:tc>
          <w:tcPr>
            <w:tcW w:w="2200" w:type="dxa"/>
            <w:tcBorders>
              <w:top w:val="single" w:sz="4" w:space="0" w:color="auto"/>
              <w:bottom w:val="single" w:sz="4" w:space="0" w:color="auto"/>
            </w:tcBorders>
            <w:tcMar>
              <w:top w:w="100" w:type="dxa"/>
              <w:left w:w="120" w:type="dxa"/>
              <w:bottom w:w="100" w:type="dxa"/>
              <w:right w:w="120" w:type="dxa"/>
            </w:tcMar>
          </w:tcPr>
          <w:p w14:paraId="079C2372" w14:textId="77777777" w:rsidR="005776EE" w:rsidRDefault="005776EE" w:rsidP="00F06623">
            <w:pPr>
              <w:pStyle w:val="Tablecontent"/>
            </w:pPr>
            <w:r>
              <w:t>Designated service</w:t>
            </w:r>
          </w:p>
        </w:tc>
        <w:tc>
          <w:tcPr>
            <w:tcW w:w="6826" w:type="dxa"/>
            <w:tcBorders>
              <w:top w:val="single" w:sz="4" w:space="0" w:color="auto"/>
              <w:bottom w:val="single" w:sz="4" w:space="0" w:color="auto"/>
            </w:tcBorders>
            <w:tcMar>
              <w:top w:w="100" w:type="dxa"/>
              <w:left w:w="120" w:type="dxa"/>
              <w:bottom w:w="100" w:type="dxa"/>
              <w:right w:w="120" w:type="dxa"/>
            </w:tcMar>
          </w:tcPr>
          <w:p w14:paraId="0C087FD2" w14:textId="77777777" w:rsidR="005776EE" w:rsidRDefault="005776EE" w:rsidP="00F06623">
            <w:pPr>
              <w:pStyle w:val="Tablecontent"/>
            </w:pPr>
            <w:r>
              <w:t>A service specified in the AML/CTF Act that triggers reporting entity obligations. For lawyers, this includes certain transactional services but excludes legal advice and court representation.</w:t>
            </w:r>
          </w:p>
        </w:tc>
      </w:tr>
      <w:tr w:rsidR="005776EE" w14:paraId="26989C8C" w14:textId="77777777" w:rsidTr="00360D72">
        <w:tc>
          <w:tcPr>
            <w:tcW w:w="2200" w:type="dxa"/>
            <w:tcBorders>
              <w:top w:val="single" w:sz="4" w:space="0" w:color="auto"/>
              <w:bottom w:val="single" w:sz="4" w:space="0" w:color="auto"/>
            </w:tcBorders>
            <w:tcMar>
              <w:top w:w="100" w:type="dxa"/>
              <w:left w:w="120" w:type="dxa"/>
              <w:bottom w:w="100" w:type="dxa"/>
              <w:right w:w="120" w:type="dxa"/>
            </w:tcMar>
          </w:tcPr>
          <w:p w14:paraId="7FC1E0FF" w14:textId="77777777" w:rsidR="005776EE" w:rsidRDefault="005776EE" w:rsidP="00F06623">
            <w:pPr>
              <w:pStyle w:val="Tablecontent"/>
            </w:pPr>
            <w:r>
              <w:t>Disclosure</w:t>
            </w:r>
          </w:p>
        </w:tc>
        <w:tc>
          <w:tcPr>
            <w:tcW w:w="6826" w:type="dxa"/>
            <w:tcBorders>
              <w:top w:val="single" w:sz="4" w:space="0" w:color="auto"/>
              <w:bottom w:val="single" w:sz="4" w:space="0" w:color="auto"/>
            </w:tcBorders>
            <w:tcMar>
              <w:top w:w="100" w:type="dxa"/>
              <w:left w:w="120" w:type="dxa"/>
              <w:bottom w:w="100" w:type="dxa"/>
              <w:right w:w="120" w:type="dxa"/>
            </w:tcMar>
          </w:tcPr>
          <w:p w14:paraId="4BE18ADA" w14:textId="77777777" w:rsidR="005776EE" w:rsidRDefault="005776EE" w:rsidP="00F06623">
            <w:pPr>
              <w:pStyle w:val="Tablecontent"/>
            </w:pPr>
            <w:r>
              <w:t>Making personal information accessible to others outside the entity, or releasing it from the entity's effective control.</w:t>
            </w:r>
          </w:p>
        </w:tc>
      </w:tr>
      <w:tr w:rsidR="005776EE" w14:paraId="2456AA64" w14:textId="77777777" w:rsidTr="00360D72">
        <w:tc>
          <w:tcPr>
            <w:tcW w:w="2200" w:type="dxa"/>
            <w:tcBorders>
              <w:top w:val="single" w:sz="4" w:space="0" w:color="auto"/>
              <w:bottom w:val="single" w:sz="4" w:space="0" w:color="auto"/>
            </w:tcBorders>
            <w:tcMar>
              <w:top w:w="100" w:type="dxa"/>
              <w:left w:w="120" w:type="dxa"/>
              <w:bottom w:w="100" w:type="dxa"/>
              <w:right w:w="120" w:type="dxa"/>
            </w:tcMar>
          </w:tcPr>
          <w:p w14:paraId="47BA680C" w14:textId="77777777" w:rsidR="005776EE" w:rsidRDefault="005776EE" w:rsidP="00F06623">
            <w:pPr>
              <w:pStyle w:val="Tablecontent"/>
            </w:pPr>
            <w:r>
              <w:t>Eligible data breach</w:t>
            </w:r>
          </w:p>
        </w:tc>
        <w:tc>
          <w:tcPr>
            <w:tcW w:w="6826" w:type="dxa"/>
            <w:tcBorders>
              <w:top w:val="single" w:sz="4" w:space="0" w:color="auto"/>
              <w:bottom w:val="single" w:sz="4" w:space="0" w:color="auto"/>
            </w:tcBorders>
            <w:tcMar>
              <w:top w:w="100" w:type="dxa"/>
              <w:left w:w="120" w:type="dxa"/>
              <w:bottom w:w="100" w:type="dxa"/>
              <w:right w:w="120" w:type="dxa"/>
            </w:tcMar>
          </w:tcPr>
          <w:p w14:paraId="55366F3F" w14:textId="77777777" w:rsidR="005776EE" w:rsidRDefault="005776EE" w:rsidP="00F06623">
            <w:pPr>
              <w:pStyle w:val="Tablecontent"/>
            </w:pPr>
            <w:r>
              <w:t>A data breach that triggers notification obligations under the NDB scheme — being unauthorised access, disclosure or loss of personal information where serious harm is likely.</w:t>
            </w:r>
          </w:p>
        </w:tc>
      </w:tr>
      <w:tr w:rsidR="005776EE" w14:paraId="1CC69281" w14:textId="77777777" w:rsidTr="00360D72">
        <w:tc>
          <w:tcPr>
            <w:tcW w:w="2200" w:type="dxa"/>
            <w:tcBorders>
              <w:top w:val="single" w:sz="4" w:space="0" w:color="auto"/>
              <w:bottom w:val="single" w:sz="4" w:space="0" w:color="auto"/>
            </w:tcBorders>
            <w:tcMar>
              <w:top w:w="100" w:type="dxa"/>
              <w:left w:w="120" w:type="dxa"/>
              <w:bottom w:w="100" w:type="dxa"/>
              <w:right w:w="120" w:type="dxa"/>
            </w:tcMar>
          </w:tcPr>
          <w:p w14:paraId="2BD38463" w14:textId="77777777" w:rsidR="005776EE" w:rsidRDefault="005776EE" w:rsidP="00F06623">
            <w:pPr>
              <w:pStyle w:val="Tablecontent"/>
            </w:pPr>
            <w:r>
              <w:t>Interference with privacy</w:t>
            </w:r>
          </w:p>
        </w:tc>
        <w:tc>
          <w:tcPr>
            <w:tcW w:w="6826" w:type="dxa"/>
            <w:tcBorders>
              <w:top w:val="single" w:sz="4" w:space="0" w:color="auto"/>
              <w:bottom w:val="single" w:sz="4" w:space="0" w:color="auto"/>
            </w:tcBorders>
            <w:tcMar>
              <w:top w:w="100" w:type="dxa"/>
              <w:left w:w="120" w:type="dxa"/>
              <w:bottom w:w="100" w:type="dxa"/>
              <w:right w:w="120" w:type="dxa"/>
            </w:tcMar>
          </w:tcPr>
          <w:p w14:paraId="6C8A9D6F" w14:textId="77777777" w:rsidR="005776EE" w:rsidRDefault="005776EE" w:rsidP="00F06623">
            <w:pPr>
              <w:pStyle w:val="Tablecontent"/>
            </w:pPr>
            <w:r>
              <w:t>A breach of an APP or other contravention of the Privacy Act. The OAIC may investigate interferences with privacy and make determinations.</w:t>
            </w:r>
          </w:p>
        </w:tc>
      </w:tr>
      <w:tr w:rsidR="005776EE" w14:paraId="710AD367" w14:textId="77777777" w:rsidTr="00360D72">
        <w:tc>
          <w:tcPr>
            <w:tcW w:w="2200" w:type="dxa"/>
            <w:tcBorders>
              <w:top w:val="single" w:sz="4" w:space="0" w:color="auto"/>
              <w:bottom w:val="single" w:sz="4" w:space="0" w:color="auto"/>
            </w:tcBorders>
            <w:tcMar>
              <w:top w:w="100" w:type="dxa"/>
              <w:left w:w="120" w:type="dxa"/>
              <w:bottom w:w="100" w:type="dxa"/>
              <w:right w:w="120" w:type="dxa"/>
            </w:tcMar>
          </w:tcPr>
          <w:p w14:paraId="08EF16FD" w14:textId="77777777" w:rsidR="005776EE" w:rsidRDefault="005776EE" w:rsidP="00F06623">
            <w:pPr>
              <w:pStyle w:val="Tablecontent"/>
            </w:pPr>
            <w:r>
              <w:t>NDB scheme</w:t>
            </w:r>
          </w:p>
        </w:tc>
        <w:tc>
          <w:tcPr>
            <w:tcW w:w="6826" w:type="dxa"/>
            <w:tcBorders>
              <w:top w:val="single" w:sz="4" w:space="0" w:color="auto"/>
              <w:bottom w:val="single" w:sz="4" w:space="0" w:color="auto"/>
            </w:tcBorders>
            <w:tcMar>
              <w:top w:w="100" w:type="dxa"/>
              <w:left w:w="120" w:type="dxa"/>
              <w:bottom w:w="100" w:type="dxa"/>
              <w:right w:w="120" w:type="dxa"/>
            </w:tcMar>
          </w:tcPr>
          <w:p w14:paraId="57519D42" w14:textId="77777777" w:rsidR="005776EE" w:rsidRDefault="005776EE" w:rsidP="00F06623">
            <w:pPr>
              <w:pStyle w:val="Tablecontent"/>
            </w:pPr>
            <w:r>
              <w:t>Notifiable Data Breaches scheme — the legislative scheme under Part IIIC of the Privacy Act requiring notification of eligible data breaches.</w:t>
            </w:r>
          </w:p>
        </w:tc>
      </w:tr>
      <w:tr w:rsidR="005776EE" w14:paraId="4B13C77D" w14:textId="77777777" w:rsidTr="00360D72">
        <w:tc>
          <w:tcPr>
            <w:tcW w:w="2200" w:type="dxa"/>
            <w:tcBorders>
              <w:top w:val="single" w:sz="4" w:space="0" w:color="auto"/>
              <w:bottom w:val="single" w:sz="4" w:space="0" w:color="auto"/>
            </w:tcBorders>
            <w:tcMar>
              <w:top w:w="100" w:type="dxa"/>
              <w:left w:w="120" w:type="dxa"/>
              <w:bottom w:w="100" w:type="dxa"/>
              <w:right w:w="120" w:type="dxa"/>
            </w:tcMar>
          </w:tcPr>
          <w:p w14:paraId="475CFBDF" w14:textId="77777777" w:rsidR="005776EE" w:rsidRDefault="005776EE" w:rsidP="00F06623">
            <w:pPr>
              <w:pStyle w:val="Tablecontent"/>
            </w:pPr>
            <w:r>
              <w:t>OAIC</w:t>
            </w:r>
          </w:p>
        </w:tc>
        <w:tc>
          <w:tcPr>
            <w:tcW w:w="6826" w:type="dxa"/>
            <w:tcBorders>
              <w:top w:val="single" w:sz="4" w:space="0" w:color="auto"/>
              <w:bottom w:val="single" w:sz="4" w:space="0" w:color="auto"/>
            </w:tcBorders>
            <w:tcMar>
              <w:top w:w="100" w:type="dxa"/>
              <w:left w:w="120" w:type="dxa"/>
              <w:bottom w:w="100" w:type="dxa"/>
              <w:right w:w="120" w:type="dxa"/>
            </w:tcMar>
          </w:tcPr>
          <w:p w14:paraId="553771C0" w14:textId="77777777" w:rsidR="005776EE" w:rsidRDefault="005776EE" w:rsidP="00F06623">
            <w:pPr>
              <w:pStyle w:val="Tablecontent"/>
            </w:pPr>
            <w:r>
              <w:t>Office of the Australian Information Commissioner — the federal regulator for privacy matters.</w:t>
            </w:r>
          </w:p>
        </w:tc>
      </w:tr>
      <w:tr w:rsidR="005776EE" w14:paraId="20DF0B58" w14:textId="77777777" w:rsidTr="00360D72">
        <w:tc>
          <w:tcPr>
            <w:tcW w:w="2200" w:type="dxa"/>
            <w:tcBorders>
              <w:top w:val="single" w:sz="4" w:space="0" w:color="auto"/>
              <w:bottom w:val="single" w:sz="4" w:space="0" w:color="auto"/>
            </w:tcBorders>
            <w:tcMar>
              <w:top w:w="100" w:type="dxa"/>
              <w:left w:w="120" w:type="dxa"/>
              <w:bottom w:w="100" w:type="dxa"/>
              <w:right w:w="120" w:type="dxa"/>
            </w:tcMar>
          </w:tcPr>
          <w:p w14:paraId="50D8E019" w14:textId="77777777" w:rsidR="005776EE" w:rsidRDefault="005776EE" w:rsidP="00F06623">
            <w:pPr>
              <w:pStyle w:val="Tablecontent"/>
            </w:pPr>
            <w:r>
              <w:t>Personal information</w:t>
            </w:r>
          </w:p>
        </w:tc>
        <w:tc>
          <w:tcPr>
            <w:tcW w:w="6826" w:type="dxa"/>
            <w:tcBorders>
              <w:top w:val="single" w:sz="4" w:space="0" w:color="auto"/>
              <w:bottom w:val="single" w:sz="4" w:space="0" w:color="auto"/>
            </w:tcBorders>
            <w:tcMar>
              <w:top w:w="100" w:type="dxa"/>
              <w:left w:w="120" w:type="dxa"/>
              <w:bottom w:w="100" w:type="dxa"/>
              <w:right w:w="120" w:type="dxa"/>
            </w:tcMar>
          </w:tcPr>
          <w:p w14:paraId="2B1A092F" w14:textId="77777777" w:rsidR="005776EE" w:rsidRDefault="005776EE" w:rsidP="00F06623">
            <w:pPr>
              <w:pStyle w:val="Tablecontent"/>
            </w:pPr>
            <w:r>
              <w:t>Information or an opinion about an identified individual, or an individual who is reasonably identifiable, whether the information is true or not and whether recorded in a material form or not.</w:t>
            </w:r>
          </w:p>
        </w:tc>
      </w:tr>
      <w:tr w:rsidR="005776EE" w14:paraId="15860A72" w14:textId="77777777" w:rsidTr="00360D72">
        <w:tc>
          <w:tcPr>
            <w:tcW w:w="2200" w:type="dxa"/>
            <w:tcBorders>
              <w:top w:val="single" w:sz="4" w:space="0" w:color="auto"/>
              <w:bottom w:val="single" w:sz="4" w:space="0" w:color="auto"/>
            </w:tcBorders>
            <w:tcMar>
              <w:top w:w="100" w:type="dxa"/>
              <w:left w:w="120" w:type="dxa"/>
              <w:bottom w:w="100" w:type="dxa"/>
              <w:right w:w="120" w:type="dxa"/>
            </w:tcMar>
          </w:tcPr>
          <w:p w14:paraId="27C2FC72" w14:textId="77777777" w:rsidR="005776EE" w:rsidRDefault="005776EE" w:rsidP="00F06623">
            <w:pPr>
              <w:pStyle w:val="Tablecontent"/>
            </w:pPr>
            <w:r>
              <w:t>PIA</w:t>
            </w:r>
          </w:p>
        </w:tc>
        <w:tc>
          <w:tcPr>
            <w:tcW w:w="6826" w:type="dxa"/>
            <w:tcBorders>
              <w:top w:val="single" w:sz="4" w:space="0" w:color="auto"/>
              <w:bottom w:val="single" w:sz="4" w:space="0" w:color="auto"/>
            </w:tcBorders>
            <w:tcMar>
              <w:top w:w="100" w:type="dxa"/>
              <w:left w:w="120" w:type="dxa"/>
              <w:bottom w:w="100" w:type="dxa"/>
              <w:right w:w="120" w:type="dxa"/>
            </w:tcMar>
          </w:tcPr>
          <w:p w14:paraId="7E5B7435" w14:textId="77777777" w:rsidR="005776EE" w:rsidRDefault="005776EE" w:rsidP="00F06623">
            <w:pPr>
              <w:pStyle w:val="Tablecontent"/>
            </w:pPr>
            <w:r>
              <w:t>Privacy Impact Assessment — a systematic assessment of a project to identify privacy impacts and how they can be addressed.</w:t>
            </w:r>
          </w:p>
        </w:tc>
      </w:tr>
      <w:tr w:rsidR="005776EE" w14:paraId="492C0114" w14:textId="77777777" w:rsidTr="00360D72">
        <w:tc>
          <w:tcPr>
            <w:tcW w:w="2200" w:type="dxa"/>
            <w:tcBorders>
              <w:top w:val="single" w:sz="4" w:space="0" w:color="auto"/>
              <w:bottom w:val="single" w:sz="4" w:space="0" w:color="auto"/>
            </w:tcBorders>
            <w:tcMar>
              <w:top w:w="100" w:type="dxa"/>
              <w:left w:w="120" w:type="dxa"/>
              <w:bottom w:w="100" w:type="dxa"/>
              <w:right w:w="120" w:type="dxa"/>
            </w:tcMar>
          </w:tcPr>
          <w:p w14:paraId="524B6E30" w14:textId="77777777" w:rsidR="005776EE" w:rsidRDefault="005776EE" w:rsidP="00F06623">
            <w:pPr>
              <w:pStyle w:val="Tablecontent"/>
            </w:pPr>
            <w:r>
              <w:lastRenderedPageBreak/>
              <w:t>Primary purpose</w:t>
            </w:r>
          </w:p>
        </w:tc>
        <w:tc>
          <w:tcPr>
            <w:tcW w:w="6826" w:type="dxa"/>
            <w:tcBorders>
              <w:top w:val="single" w:sz="4" w:space="0" w:color="auto"/>
              <w:bottom w:val="single" w:sz="4" w:space="0" w:color="auto"/>
            </w:tcBorders>
            <w:tcMar>
              <w:top w:w="100" w:type="dxa"/>
              <w:left w:w="120" w:type="dxa"/>
              <w:bottom w:w="100" w:type="dxa"/>
              <w:right w:w="120" w:type="dxa"/>
            </w:tcMar>
          </w:tcPr>
          <w:p w14:paraId="32CEF8D0" w14:textId="77777777" w:rsidR="005776EE" w:rsidRDefault="005776EE" w:rsidP="00F06623">
            <w:pPr>
              <w:pStyle w:val="Tablecontent"/>
            </w:pPr>
            <w:r>
              <w:t>The main reason for which personal information was collected. Information may generally be used or disclosed for the primary purpose without further justification.</w:t>
            </w:r>
          </w:p>
        </w:tc>
      </w:tr>
      <w:tr w:rsidR="005776EE" w14:paraId="6C38D9F7" w14:textId="77777777" w:rsidTr="00360D72">
        <w:tc>
          <w:tcPr>
            <w:tcW w:w="2200" w:type="dxa"/>
            <w:tcBorders>
              <w:top w:val="single" w:sz="4" w:space="0" w:color="auto"/>
              <w:bottom w:val="single" w:sz="4" w:space="0" w:color="auto"/>
            </w:tcBorders>
            <w:tcMar>
              <w:top w:w="100" w:type="dxa"/>
              <w:left w:w="120" w:type="dxa"/>
              <w:bottom w:w="100" w:type="dxa"/>
              <w:right w:w="120" w:type="dxa"/>
            </w:tcMar>
          </w:tcPr>
          <w:p w14:paraId="38323AFA" w14:textId="77777777" w:rsidR="005776EE" w:rsidRDefault="005776EE" w:rsidP="00F06623">
            <w:pPr>
              <w:pStyle w:val="Tablecontent"/>
            </w:pPr>
            <w:r>
              <w:t>Reporting entity</w:t>
            </w:r>
          </w:p>
        </w:tc>
        <w:tc>
          <w:tcPr>
            <w:tcW w:w="6826" w:type="dxa"/>
            <w:tcBorders>
              <w:top w:val="single" w:sz="4" w:space="0" w:color="auto"/>
              <w:bottom w:val="single" w:sz="4" w:space="0" w:color="auto"/>
            </w:tcBorders>
            <w:tcMar>
              <w:top w:w="100" w:type="dxa"/>
              <w:left w:w="120" w:type="dxa"/>
              <w:bottom w:w="100" w:type="dxa"/>
              <w:right w:w="120" w:type="dxa"/>
            </w:tcMar>
          </w:tcPr>
          <w:p w14:paraId="7A0D5312" w14:textId="77777777" w:rsidR="005776EE" w:rsidRDefault="005776EE" w:rsidP="00F06623">
            <w:pPr>
              <w:pStyle w:val="Tablecontent"/>
            </w:pPr>
            <w:r>
              <w:t>An entity that provides designated services under the AML/CTF Act and is therefore subject to AML/CTF obligations including CDD, reporting, and record-keeping.</w:t>
            </w:r>
          </w:p>
        </w:tc>
      </w:tr>
      <w:tr w:rsidR="005776EE" w14:paraId="23749093" w14:textId="77777777" w:rsidTr="00360D72">
        <w:tc>
          <w:tcPr>
            <w:tcW w:w="2200" w:type="dxa"/>
            <w:tcBorders>
              <w:top w:val="single" w:sz="4" w:space="0" w:color="auto"/>
              <w:bottom w:val="single" w:sz="4" w:space="0" w:color="auto"/>
            </w:tcBorders>
            <w:tcMar>
              <w:top w:w="100" w:type="dxa"/>
              <w:left w:w="120" w:type="dxa"/>
              <w:bottom w:w="100" w:type="dxa"/>
              <w:right w:w="120" w:type="dxa"/>
            </w:tcMar>
          </w:tcPr>
          <w:p w14:paraId="5C0EBF75" w14:textId="77777777" w:rsidR="005776EE" w:rsidRDefault="005776EE" w:rsidP="00F06623">
            <w:pPr>
              <w:pStyle w:val="Tablecontent"/>
            </w:pPr>
            <w:r>
              <w:t>Secondary purpose</w:t>
            </w:r>
          </w:p>
        </w:tc>
        <w:tc>
          <w:tcPr>
            <w:tcW w:w="6826" w:type="dxa"/>
            <w:tcBorders>
              <w:top w:val="single" w:sz="4" w:space="0" w:color="auto"/>
              <w:bottom w:val="single" w:sz="4" w:space="0" w:color="auto"/>
            </w:tcBorders>
            <w:tcMar>
              <w:top w:w="100" w:type="dxa"/>
              <w:left w:w="120" w:type="dxa"/>
              <w:bottom w:w="100" w:type="dxa"/>
              <w:right w:w="120" w:type="dxa"/>
            </w:tcMar>
          </w:tcPr>
          <w:p w14:paraId="3CD3C68B" w14:textId="77777777" w:rsidR="005776EE" w:rsidRDefault="005776EE" w:rsidP="00F06623">
            <w:pPr>
              <w:pStyle w:val="Tablecontent"/>
            </w:pPr>
            <w:r>
              <w:t>A purpose other than the primary purpose for which information was collected. Use or disclosure for a secondary purpose requires an exception (such as consent or legal requirement).</w:t>
            </w:r>
          </w:p>
        </w:tc>
      </w:tr>
      <w:tr w:rsidR="005776EE" w14:paraId="7EAC4971" w14:textId="77777777" w:rsidTr="00360D72">
        <w:tc>
          <w:tcPr>
            <w:tcW w:w="2200" w:type="dxa"/>
            <w:tcBorders>
              <w:top w:val="single" w:sz="4" w:space="0" w:color="auto"/>
              <w:bottom w:val="single" w:sz="4" w:space="0" w:color="auto"/>
            </w:tcBorders>
            <w:tcMar>
              <w:top w:w="100" w:type="dxa"/>
              <w:left w:w="120" w:type="dxa"/>
              <w:bottom w:w="100" w:type="dxa"/>
              <w:right w:w="120" w:type="dxa"/>
            </w:tcMar>
          </w:tcPr>
          <w:p w14:paraId="49DB1538" w14:textId="77777777" w:rsidR="005776EE" w:rsidRDefault="005776EE" w:rsidP="00F06623">
            <w:pPr>
              <w:pStyle w:val="Tablecontent"/>
            </w:pPr>
            <w:r>
              <w:t>Sensitive information</w:t>
            </w:r>
          </w:p>
        </w:tc>
        <w:tc>
          <w:tcPr>
            <w:tcW w:w="6826" w:type="dxa"/>
            <w:tcBorders>
              <w:top w:val="single" w:sz="4" w:space="0" w:color="auto"/>
              <w:bottom w:val="single" w:sz="4" w:space="0" w:color="auto"/>
            </w:tcBorders>
            <w:tcMar>
              <w:top w:w="100" w:type="dxa"/>
              <w:left w:w="120" w:type="dxa"/>
              <w:bottom w:w="100" w:type="dxa"/>
              <w:right w:w="120" w:type="dxa"/>
            </w:tcMar>
          </w:tcPr>
          <w:p w14:paraId="74C9D98F" w14:textId="77777777" w:rsidR="005776EE" w:rsidRDefault="005776EE" w:rsidP="00F06623">
            <w:pPr>
              <w:pStyle w:val="Tablecontent"/>
            </w:pPr>
            <w:r>
              <w:t>A subset of personal information that attracts additional protections, including health information, biometric information, racial or ethnic origin, political opinions, religious beliefs, and criminal record.</w:t>
            </w:r>
          </w:p>
        </w:tc>
      </w:tr>
      <w:tr w:rsidR="005776EE" w14:paraId="14799E29" w14:textId="77777777" w:rsidTr="00360D72">
        <w:tc>
          <w:tcPr>
            <w:tcW w:w="2200" w:type="dxa"/>
            <w:tcBorders>
              <w:top w:val="single" w:sz="4" w:space="0" w:color="auto"/>
              <w:bottom w:val="single" w:sz="4" w:space="0" w:color="auto"/>
            </w:tcBorders>
            <w:tcMar>
              <w:top w:w="100" w:type="dxa"/>
              <w:left w:w="120" w:type="dxa"/>
              <w:bottom w:w="100" w:type="dxa"/>
              <w:right w:w="120" w:type="dxa"/>
            </w:tcMar>
          </w:tcPr>
          <w:p w14:paraId="328A760D" w14:textId="77777777" w:rsidR="005776EE" w:rsidRDefault="005776EE" w:rsidP="00F06623">
            <w:pPr>
              <w:pStyle w:val="Tablecontent"/>
            </w:pPr>
            <w:r>
              <w:t>Serious harm</w:t>
            </w:r>
          </w:p>
        </w:tc>
        <w:tc>
          <w:tcPr>
            <w:tcW w:w="6826" w:type="dxa"/>
            <w:tcBorders>
              <w:top w:val="single" w:sz="4" w:space="0" w:color="auto"/>
              <w:bottom w:val="single" w:sz="4" w:space="0" w:color="auto"/>
            </w:tcBorders>
            <w:tcMar>
              <w:top w:w="100" w:type="dxa"/>
              <w:left w:w="120" w:type="dxa"/>
              <w:bottom w:w="100" w:type="dxa"/>
              <w:right w:w="120" w:type="dxa"/>
            </w:tcMar>
          </w:tcPr>
          <w:p w14:paraId="04DFB043" w14:textId="77777777" w:rsidR="005776EE" w:rsidRDefault="005776EE" w:rsidP="00F06623">
            <w:pPr>
              <w:pStyle w:val="Tablecontent"/>
            </w:pPr>
            <w:r>
              <w:t>For NDB purposes, harm that a reasonable person would consider to be serious, including physical, psychological, emotional, financial, or reputational harm.</w:t>
            </w:r>
          </w:p>
        </w:tc>
      </w:tr>
      <w:tr w:rsidR="005776EE" w14:paraId="2A4E6E4E" w14:textId="77777777" w:rsidTr="00360D72">
        <w:tc>
          <w:tcPr>
            <w:tcW w:w="2200" w:type="dxa"/>
            <w:tcBorders>
              <w:top w:val="single" w:sz="4" w:space="0" w:color="auto"/>
              <w:bottom w:val="single" w:sz="4" w:space="0" w:color="auto"/>
            </w:tcBorders>
            <w:tcMar>
              <w:top w:w="100" w:type="dxa"/>
              <w:left w:w="120" w:type="dxa"/>
              <w:bottom w:w="100" w:type="dxa"/>
              <w:right w:w="120" w:type="dxa"/>
            </w:tcMar>
          </w:tcPr>
          <w:p w14:paraId="18B537A1" w14:textId="77777777" w:rsidR="005776EE" w:rsidRDefault="005776EE" w:rsidP="00F06623">
            <w:pPr>
              <w:pStyle w:val="Tablecontent"/>
            </w:pPr>
            <w:r>
              <w:t>Use</w:t>
            </w:r>
          </w:p>
        </w:tc>
        <w:tc>
          <w:tcPr>
            <w:tcW w:w="6826" w:type="dxa"/>
            <w:tcBorders>
              <w:top w:val="single" w:sz="4" w:space="0" w:color="auto"/>
              <w:bottom w:val="single" w:sz="4" w:space="0" w:color="auto"/>
            </w:tcBorders>
            <w:tcMar>
              <w:top w:w="100" w:type="dxa"/>
              <w:left w:w="120" w:type="dxa"/>
              <w:bottom w:w="100" w:type="dxa"/>
              <w:right w:w="120" w:type="dxa"/>
            </w:tcMar>
          </w:tcPr>
          <w:p w14:paraId="7B23DFD2" w14:textId="77777777" w:rsidR="005776EE" w:rsidRDefault="005776EE" w:rsidP="00F06623">
            <w:pPr>
              <w:pStyle w:val="Tablecontent"/>
            </w:pPr>
            <w:r>
              <w:t>The handling of personal information within the entity, including accessing, reading, analysing, referencing, or otherwise doing something with the information internally.</w:t>
            </w:r>
          </w:p>
        </w:tc>
      </w:tr>
    </w:tbl>
    <w:p w14:paraId="1DEA7949" w14:textId="77777777" w:rsidR="005776EE" w:rsidRDefault="005776EE" w:rsidP="00973158">
      <w:r>
        <w:br w:type="page"/>
      </w:r>
    </w:p>
    <w:p w14:paraId="473B9BEB" w14:textId="75C1FCF3" w:rsidR="005776EE" w:rsidRDefault="005776EE" w:rsidP="00B8098D">
      <w:pPr>
        <w:pStyle w:val="NumberedHeading1"/>
      </w:pPr>
      <w:bookmarkStart w:id="399" w:name="_Toc220070017"/>
      <w:bookmarkStart w:id="400" w:name="_Toc220655158"/>
      <w:bookmarkStart w:id="401" w:name="_Toc231895248"/>
      <w:r>
        <w:lastRenderedPageBreak/>
        <w:t>Quick Reference Guides</w:t>
      </w:r>
      <w:bookmarkEnd w:id="399"/>
      <w:bookmarkEnd w:id="400"/>
      <w:bookmarkEnd w:id="401"/>
    </w:p>
    <w:p w14:paraId="54D95B44" w14:textId="77777777" w:rsidR="005776EE" w:rsidRDefault="005776EE" w:rsidP="00A30EAA">
      <w:pPr>
        <w:pStyle w:val="Body"/>
      </w:pPr>
      <w:r>
        <w:t>These quick reference guides provide at-a-glance summaries for common privacy scenarios. Consider printing these for easy reference.</w:t>
      </w:r>
    </w:p>
    <w:p w14:paraId="318F11D3" w14:textId="3C2C1BB9" w:rsidR="005776EE" w:rsidRDefault="005776EE" w:rsidP="00A30EAA">
      <w:pPr>
        <w:pStyle w:val="NumberedHeading2"/>
      </w:pPr>
      <w:bookmarkStart w:id="402" w:name="_Toc220070018"/>
      <w:bookmarkStart w:id="403" w:name="_Toc220655159"/>
      <w:bookmarkStart w:id="404" w:name="_Toc231895249"/>
      <w:r>
        <w:t xml:space="preserve">Quick Reference: </w:t>
      </w:r>
      <w:r w:rsidR="000F00B7">
        <w:t xml:space="preserve">Privacy &amp; </w:t>
      </w:r>
      <w:r>
        <w:t>New Client Onboarding</w:t>
      </w:r>
      <w:bookmarkEnd w:id="402"/>
      <w:bookmarkEnd w:id="403"/>
      <w:bookmarkEnd w:id="404"/>
    </w:p>
    <w:tbl>
      <w:tblPr>
        <w:tblW w:w="5000" w:type="pct"/>
        <w:tblCellMar>
          <w:top w:w="284" w:type="dxa"/>
          <w:left w:w="284" w:type="dxa"/>
          <w:bottom w:w="284" w:type="dxa"/>
          <w:right w:w="284" w:type="dxa"/>
        </w:tblCellMar>
        <w:tblLook w:val="04A0" w:firstRow="1" w:lastRow="0" w:firstColumn="1" w:lastColumn="0" w:noHBand="0" w:noVBand="1"/>
      </w:tblPr>
      <w:tblGrid>
        <w:gridCol w:w="9026"/>
      </w:tblGrid>
      <w:tr w:rsidR="005776EE" w14:paraId="223E60C9" w14:textId="77777777" w:rsidTr="00A238C1">
        <w:tc>
          <w:tcPr>
            <w:tcW w:w="9026" w:type="dxa"/>
            <w:shd w:val="clear" w:color="auto" w:fill="F5F5F5"/>
            <w:tcMar>
              <w:top w:w="160" w:type="dxa"/>
              <w:left w:w="200" w:type="dxa"/>
              <w:bottom w:w="160" w:type="dxa"/>
              <w:right w:w="200" w:type="dxa"/>
            </w:tcMar>
          </w:tcPr>
          <w:p w14:paraId="58ABA87D" w14:textId="77777777" w:rsidR="005776EE" w:rsidRPr="00A4431A" w:rsidRDefault="005776EE" w:rsidP="00973158">
            <w:pPr>
              <w:rPr>
                <w:b/>
                <w:bCs/>
              </w:rPr>
            </w:pPr>
            <w:r w:rsidRPr="00A4431A">
              <w:rPr>
                <w:b/>
                <w:bCs/>
              </w:rPr>
              <w:t>NEW CLIENT PRIVACY CHECKLIST</w:t>
            </w:r>
          </w:p>
          <w:p w14:paraId="4C6B9F46" w14:textId="5BED5946" w:rsidR="005776EE" w:rsidRDefault="00402FB6" w:rsidP="00A30EAA">
            <w:pPr>
              <w:pStyle w:val="ChecklistListParagraph"/>
            </w:pPr>
            <w:r>
              <w:t>Determine whether a designated service is to be supplied</w:t>
            </w:r>
          </w:p>
          <w:p w14:paraId="57CA0E6E" w14:textId="62546D2E" w:rsidR="005776EE" w:rsidRDefault="005776EE" w:rsidP="00A30EAA">
            <w:pPr>
              <w:pStyle w:val="ChecklistListParagraph"/>
            </w:pPr>
            <w:r>
              <w:t xml:space="preserve">If designated service: Provide AML/CTF Collection Notice </w:t>
            </w:r>
            <w:r w:rsidR="00BF59ED">
              <w:t>(client)</w:t>
            </w:r>
          </w:p>
          <w:p w14:paraId="7D986F2B" w14:textId="2355DBF6" w:rsidR="005776EE" w:rsidRDefault="005776EE" w:rsidP="00A30EAA">
            <w:pPr>
              <w:pStyle w:val="ChecklistListParagraph"/>
            </w:pPr>
            <w:r>
              <w:t xml:space="preserve">Collect identity documents (if </w:t>
            </w:r>
            <w:r w:rsidR="000F00B7">
              <w:t>needed, retain copy if essential but preferably note details and certify that the original documents were inspected</w:t>
            </w:r>
            <w:r>
              <w:t>)</w:t>
            </w:r>
          </w:p>
          <w:p w14:paraId="5BEDC353" w14:textId="2A5D4914" w:rsidR="005776EE" w:rsidRDefault="005776EE" w:rsidP="00A30EAA">
            <w:pPr>
              <w:pStyle w:val="ChecklistListParagraph"/>
            </w:pPr>
            <w:r>
              <w:t xml:space="preserve">Verify identity </w:t>
            </w:r>
            <w:r w:rsidR="00D901FA">
              <w:t>(Following firm policy, may depend on whether ARNECC Safe Harbour is relevant)</w:t>
            </w:r>
          </w:p>
          <w:p w14:paraId="4B6B26FC" w14:textId="4F311E1E" w:rsidR="005776EE" w:rsidRDefault="00F06623" w:rsidP="00A30EAA">
            <w:pPr>
              <w:pStyle w:val="ChecklistListParagraph"/>
            </w:pPr>
            <w:r>
              <w:rPr>
                <w:rFonts w:ascii="Segoe UI Symbol" w:hAnsi="Segoe UI Symbol" w:cs="Segoe UI Symbol"/>
              </w:rPr>
              <w:t>If</w:t>
            </w:r>
            <w:r w:rsidR="005776EE">
              <w:t xml:space="preserve"> corporate client: Identify beneficial owners</w:t>
            </w:r>
            <w:r w:rsidR="00CD1988">
              <w:t xml:space="preserve"> (they may require a Collection Notice)</w:t>
            </w:r>
          </w:p>
          <w:p w14:paraId="68C37799" w14:textId="64820B46" w:rsidR="005776EE" w:rsidRDefault="005776EE" w:rsidP="00A30EAA">
            <w:pPr>
              <w:pStyle w:val="ChecklistListParagraph"/>
            </w:pPr>
            <w:r>
              <w:t>Confirm client has access to privacy policy (reference in engagement letter)</w:t>
            </w:r>
          </w:p>
          <w:p w14:paraId="2DD0118F" w14:textId="6BF77224" w:rsidR="005776EE" w:rsidRDefault="005776EE" w:rsidP="00A30EAA">
            <w:pPr>
              <w:pStyle w:val="ChecklistListParagraph"/>
            </w:pPr>
            <w:r>
              <w:t>Record in matter management system</w:t>
            </w:r>
          </w:p>
        </w:tc>
      </w:tr>
    </w:tbl>
    <w:p w14:paraId="665CF0AB" w14:textId="4EB4C228" w:rsidR="005776EE" w:rsidRDefault="005776EE" w:rsidP="00A30EAA">
      <w:pPr>
        <w:pStyle w:val="NumberedHeading2"/>
      </w:pPr>
      <w:bookmarkStart w:id="405" w:name="_Toc220070019"/>
      <w:bookmarkStart w:id="406" w:name="_Toc220655160"/>
      <w:bookmarkStart w:id="407" w:name="_Toc231895250"/>
      <w:r>
        <w:t>Quick Reference: Access Request Handling</w:t>
      </w:r>
      <w:bookmarkEnd w:id="405"/>
      <w:bookmarkEnd w:id="406"/>
      <w:bookmarkEnd w:id="407"/>
    </w:p>
    <w:tbl>
      <w:tblPr>
        <w:tblW w:w="5000" w:type="pct"/>
        <w:tblLayout w:type="fixed"/>
        <w:tblCellMar>
          <w:top w:w="284" w:type="dxa"/>
          <w:left w:w="284" w:type="dxa"/>
          <w:bottom w:w="284" w:type="dxa"/>
          <w:right w:w="284" w:type="dxa"/>
        </w:tblCellMar>
        <w:tblLook w:val="04A0" w:firstRow="1" w:lastRow="0" w:firstColumn="1" w:lastColumn="0" w:noHBand="0" w:noVBand="1"/>
      </w:tblPr>
      <w:tblGrid>
        <w:gridCol w:w="9026"/>
      </w:tblGrid>
      <w:tr w:rsidR="005776EE" w14:paraId="415417CA" w14:textId="77777777" w:rsidTr="00A238C1">
        <w:tc>
          <w:tcPr>
            <w:tcW w:w="9026" w:type="dxa"/>
            <w:shd w:val="clear" w:color="auto" w:fill="F5F5F5"/>
            <w:tcMar>
              <w:top w:w="160" w:type="dxa"/>
              <w:left w:w="200" w:type="dxa"/>
              <w:bottom w:w="160" w:type="dxa"/>
              <w:right w:w="200" w:type="dxa"/>
            </w:tcMar>
          </w:tcPr>
          <w:p w14:paraId="1689AD69" w14:textId="77777777" w:rsidR="005776EE" w:rsidRPr="00A4431A" w:rsidRDefault="005776EE" w:rsidP="00973158">
            <w:pPr>
              <w:rPr>
                <w:b/>
                <w:bCs/>
              </w:rPr>
            </w:pPr>
            <w:r w:rsidRPr="00A4431A">
              <w:rPr>
                <w:b/>
                <w:bCs/>
              </w:rPr>
              <w:t>ACCESS REQUEST QUICK GUIDE</w:t>
            </w:r>
          </w:p>
          <w:p w14:paraId="3ACE4E17" w14:textId="09FEA3D1" w:rsidR="005776EE" w:rsidRDefault="005776EE" w:rsidP="00A860BB">
            <w:pPr>
              <w:pStyle w:val="ListNumber"/>
              <w:numPr>
                <w:ilvl w:val="0"/>
                <w:numId w:val="32"/>
              </w:numPr>
            </w:pPr>
            <w:r>
              <w:t>ACKNOWLEDGE within 5 days — confirm receipt, advise 30-day timeframe</w:t>
            </w:r>
          </w:p>
          <w:p w14:paraId="1796A3FF" w14:textId="08DF4938" w:rsidR="005776EE" w:rsidRDefault="005776EE" w:rsidP="00A860BB">
            <w:pPr>
              <w:pStyle w:val="ListNumber"/>
              <w:numPr>
                <w:ilvl w:val="0"/>
                <w:numId w:val="32"/>
              </w:numPr>
            </w:pPr>
            <w:r>
              <w:t>VERIFY identity of requester before providing access</w:t>
            </w:r>
          </w:p>
          <w:p w14:paraId="091E26BC" w14:textId="790896F9" w:rsidR="005776EE" w:rsidRDefault="005776EE" w:rsidP="00A860BB">
            <w:pPr>
              <w:pStyle w:val="ListNumber"/>
              <w:numPr>
                <w:ilvl w:val="0"/>
                <w:numId w:val="32"/>
              </w:numPr>
            </w:pPr>
            <w:r>
              <w:t>LOCATE all personal information about the individual</w:t>
            </w:r>
          </w:p>
          <w:p w14:paraId="64C0BD81" w14:textId="5994C00C" w:rsidR="005776EE" w:rsidRDefault="005776EE" w:rsidP="00A860BB">
            <w:pPr>
              <w:pStyle w:val="ListNumber"/>
              <w:numPr>
                <w:ilvl w:val="0"/>
                <w:numId w:val="32"/>
              </w:numPr>
            </w:pPr>
            <w:r>
              <w:t>REVIEW for exceptions:</w:t>
            </w:r>
          </w:p>
          <w:p w14:paraId="5132FB71" w14:textId="2608A983" w:rsidR="005776EE" w:rsidRDefault="005776EE" w:rsidP="00A30EAA">
            <w:pPr>
              <w:pStyle w:val="ListParagraph"/>
            </w:pPr>
            <w:r>
              <w:t>Legal professional privilege?</w:t>
            </w:r>
          </w:p>
          <w:p w14:paraId="2BE50860" w14:textId="355BBAAA" w:rsidR="005776EE" w:rsidRDefault="005776EE" w:rsidP="00A30EAA">
            <w:pPr>
              <w:pStyle w:val="ListParagraph"/>
            </w:pPr>
            <w:r>
              <w:t>Privacy of others affected?</w:t>
            </w:r>
          </w:p>
          <w:p w14:paraId="0C7F1B0D" w14:textId="1B14EED1" w:rsidR="005776EE" w:rsidRDefault="005776EE" w:rsidP="00A30EAA">
            <w:pPr>
              <w:pStyle w:val="ListParagraph"/>
            </w:pPr>
            <w:r>
              <w:t>Related to legal proceedings?</w:t>
            </w:r>
          </w:p>
          <w:p w14:paraId="033D82D7" w14:textId="0D1A805A" w:rsidR="005776EE" w:rsidRDefault="005776EE" w:rsidP="00A30EAA">
            <w:pPr>
              <w:pStyle w:val="ListParagraph"/>
            </w:pPr>
            <w:r>
              <w:t>Enforcement activities prejudiced?</w:t>
            </w:r>
          </w:p>
          <w:p w14:paraId="69D11FA9" w14:textId="42975A36" w:rsidR="005776EE" w:rsidRDefault="005776EE" w:rsidP="00A860BB">
            <w:pPr>
              <w:pStyle w:val="ListNumber"/>
            </w:pPr>
            <w:r>
              <w:t>PROVIDE access or REFUSE in writing (with reasons and complaint info)</w:t>
            </w:r>
          </w:p>
          <w:p w14:paraId="16B88106" w14:textId="7A7DAE5F" w:rsidR="005776EE" w:rsidRDefault="005776EE" w:rsidP="00A860BB">
            <w:pPr>
              <w:pStyle w:val="ListNumber"/>
            </w:pPr>
            <w:r>
              <w:t>DOCUMENT the request, assessment, and response</w:t>
            </w:r>
          </w:p>
          <w:p w14:paraId="3F3A7981" w14:textId="77777777" w:rsidR="005776EE" w:rsidRDefault="005776EE" w:rsidP="00A30EAA">
            <w:pPr>
              <w:pStyle w:val="Body"/>
            </w:pPr>
            <w:r>
              <w:t>Target: Complete within 30 calendar days</w:t>
            </w:r>
          </w:p>
        </w:tc>
      </w:tr>
    </w:tbl>
    <w:p w14:paraId="2F54EB35" w14:textId="77777777" w:rsidR="004D1E21" w:rsidRDefault="004D1E21">
      <w:pPr>
        <w:spacing w:after="0"/>
        <w:rPr>
          <w:b/>
          <w:bCs/>
          <w:iCs/>
          <w:color w:val="0F2D52"/>
          <w:sz w:val="28"/>
          <w:szCs w:val="28"/>
        </w:rPr>
      </w:pPr>
      <w:bookmarkStart w:id="408" w:name="_Toc220070020"/>
      <w:bookmarkStart w:id="409" w:name="_Toc220655161"/>
      <w:r>
        <w:br w:type="page"/>
      </w:r>
    </w:p>
    <w:p w14:paraId="68D0B496" w14:textId="3BDA4E23" w:rsidR="005776EE" w:rsidRDefault="005776EE" w:rsidP="00A30EAA">
      <w:pPr>
        <w:pStyle w:val="NumberedHeading2"/>
      </w:pPr>
      <w:bookmarkStart w:id="410" w:name="_Toc231895251"/>
      <w:r>
        <w:lastRenderedPageBreak/>
        <w:t>Quick Reference: Data Breach Response</w:t>
      </w:r>
      <w:bookmarkEnd w:id="408"/>
      <w:bookmarkEnd w:id="409"/>
      <w:bookmarkEnd w:id="410"/>
    </w:p>
    <w:tbl>
      <w:tblPr>
        <w:tblW w:w="5000" w:type="pct"/>
        <w:tblCellMar>
          <w:top w:w="284" w:type="dxa"/>
          <w:left w:w="284" w:type="dxa"/>
          <w:bottom w:w="284" w:type="dxa"/>
          <w:right w:w="284" w:type="dxa"/>
        </w:tblCellMar>
        <w:tblLook w:val="04A0" w:firstRow="1" w:lastRow="0" w:firstColumn="1" w:lastColumn="0" w:noHBand="0" w:noVBand="1"/>
      </w:tblPr>
      <w:tblGrid>
        <w:gridCol w:w="9026"/>
      </w:tblGrid>
      <w:tr w:rsidR="005776EE" w14:paraId="1B2AFAA3" w14:textId="77777777" w:rsidTr="00A238C1">
        <w:tc>
          <w:tcPr>
            <w:tcW w:w="9026" w:type="dxa"/>
            <w:shd w:val="clear" w:color="auto" w:fill="FFF3CD"/>
            <w:tcMar>
              <w:top w:w="160" w:type="dxa"/>
              <w:left w:w="200" w:type="dxa"/>
              <w:bottom w:w="160" w:type="dxa"/>
              <w:right w:w="200" w:type="dxa"/>
            </w:tcMar>
          </w:tcPr>
          <w:p w14:paraId="29ACBDE1" w14:textId="6F0AF90B" w:rsidR="005776EE" w:rsidRDefault="005776EE" w:rsidP="00A30EAA">
            <w:pPr>
              <w:pStyle w:val="Body"/>
            </w:pPr>
            <w:r>
              <w:t>DATA BREACH IMMEDIATE RESPONSE</w:t>
            </w:r>
            <w:r w:rsidR="00D3101B">
              <w:t xml:space="preserve"> (See QLS Checklist </w:t>
            </w:r>
            <w:hyperlink r:id="rId23" w:history="1">
              <w:r w:rsidR="00D3101B" w:rsidRPr="00C348E9">
                <w:rPr>
                  <w:rStyle w:val="Hyperlink"/>
                </w:rPr>
                <w:t>here</w:t>
              </w:r>
            </w:hyperlink>
            <w:r w:rsidR="00D3101B">
              <w:t>)</w:t>
            </w:r>
          </w:p>
          <w:p w14:paraId="62FD1CFB" w14:textId="77777777" w:rsidR="005776EE" w:rsidRDefault="005776EE" w:rsidP="00A30EAA">
            <w:pPr>
              <w:pStyle w:val="Body"/>
            </w:pPr>
            <w:r>
              <w:t xml:space="preserve">STEP 1: </w:t>
            </w:r>
            <w:r w:rsidRPr="002D4C1B">
              <w:rPr>
                <w:b/>
                <w:bCs/>
              </w:rPr>
              <w:t>CONTAIN</w:t>
            </w:r>
            <w:r>
              <w:t xml:space="preserve"> (Immediately)</w:t>
            </w:r>
          </w:p>
          <w:p w14:paraId="234DA486" w14:textId="54258480" w:rsidR="005776EE" w:rsidRDefault="005776EE" w:rsidP="00A30EAA">
            <w:pPr>
              <w:pStyle w:val="ListParagraph"/>
            </w:pPr>
            <w:r>
              <w:t xml:space="preserve">Stop the </w:t>
            </w:r>
            <w:r w:rsidR="00344801">
              <w:t>spread</w:t>
            </w:r>
            <w:r>
              <w:t xml:space="preserve"> —isolate systems</w:t>
            </w:r>
            <w:r w:rsidR="00344801">
              <w:t>, prevent outgoing email</w:t>
            </w:r>
          </w:p>
          <w:p w14:paraId="74AD6C43" w14:textId="3E591118" w:rsidR="005776EE" w:rsidRDefault="005776EE" w:rsidP="00A30EAA">
            <w:pPr>
              <w:pStyle w:val="ListParagraph"/>
            </w:pPr>
            <w:r>
              <w:t>Preserve evidence — do not delete logs or data</w:t>
            </w:r>
          </w:p>
          <w:p w14:paraId="1F9E95A5" w14:textId="79F1A373" w:rsidR="007B4A6B" w:rsidRDefault="007B4A6B" w:rsidP="00A30EAA">
            <w:pPr>
              <w:pStyle w:val="ListParagraph"/>
            </w:pPr>
            <w:r>
              <w:t>Ask for help from IT, insurers</w:t>
            </w:r>
          </w:p>
          <w:p w14:paraId="3C1F4066" w14:textId="77777777" w:rsidR="005776EE" w:rsidRDefault="005776EE" w:rsidP="00A30EAA">
            <w:pPr>
              <w:pStyle w:val="Body"/>
            </w:pPr>
            <w:r>
              <w:t xml:space="preserve">STEP 2: </w:t>
            </w:r>
            <w:r w:rsidRPr="002D4C1B">
              <w:rPr>
                <w:b/>
                <w:bCs/>
              </w:rPr>
              <w:t>ESCALATE</w:t>
            </w:r>
            <w:r>
              <w:t xml:space="preserve"> (Same day)</w:t>
            </w:r>
          </w:p>
          <w:p w14:paraId="15F65EDA" w14:textId="64B17B03" w:rsidR="005776EE" w:rsidRDefault="005776EE" w:rsidP="00A30EAA">
            <w:pPr>
              <w:pStyle w:val="ListParagraph"/>
            </w:pPr>
            <w:r>
              <w:t>Notify Privacy Officer / Principal</w:t>
            </w:r>
          </w:p>
          <w:p w14:paraId="527F8231" w14:textId="07C91C74" w:rsidR="002806CA" w:rsidRDefault="005776EE" w:rsidP="00A30EAA">
            <w:pPr>
              <w:pStyle w:val="ListParagraph"/>
              <w:rPr>
                <w:b/>
                <w:bCs/>
              </w:rPr>
            </w:pPr>
            <w:r>
              <w:t>Activate breach response plan (Document 05)</w:t>
            </w:r>
            <w:r w:rsidR="002806CA" w:rsidRPr="00E1748E">
              <w:rPr>
                <w:b/>
                <w:bCs/>
              </w:rPr>
              <w:t xml:space="preserve"> </w:t>
            </w:r>
          </w:p>
          <w:p w14:paraId="27A183D9" w14:textId="461F3618" w:rsidR="005776EE" w:rsidRPr="00A860BB" w:rsidRDefault="002806CA" w:rsidP="00A30EAA">
            <w:pPr>
              <w:pStyle w:val="Body"/>
              <w:rPr>
                <w:rStyle w:val="Strong"/>
              </w:rPr>
            </w:pPr>
            <w:r w:rsidRPr="00A860BB">
              <w:rPr>
                <w:rStyle w:val="Strong"/>
              </w:rPr>
              <w:t>Ensure clients know to contact their bank immediately if money could have been diverted. Even minutes can count.</w:t>
            </w:r>
          </w:p>
          <w:p w14:paraId="7A4BED93" w14:textId="65C392FA" w:rsidR="005776EE" w:rsidRDefault="005776EE" w:rsidP="00A30EAA">
            <w:pPr>
              <w:pStyle w:val="Body"/>
            </w:pPr>
            <w:r>
              <w:t xml:space="preserve">STEP 3: </w:t>
            </w:r>
            <w:r w:rsidRPr="002D4C1B">
              <w:rPr>
                <w:b/>
                <w:bCs/>
              </w:rPr>
              <w:t>ASSESS</w:t>
            </w:r>
            <w:r>
              <w:t xml:space="preserve"> </w:t>
            </w:r>
          </w:p>
          <w:p w14:paraId="4DE6271F" w14:textId="0C3B94CA" w:rsidR="005776EE" w:rsidRDefault="005776EE" w:rsidP="00A30EAA">
            <w:pPr>
              <w:pStyle w:val="ListParagraph"/>
            </w:pPr>
            <w:r>
              <w:t>What information was affected?</w:t>
            </w:r>
            <w:r w:rsidR="002806CA">
              <w:t xml:space="preserve"> Is that Privacy Act Regulated information?</w:t>
            </w:r>
          </w:p>
          <w:p w14:paraId="1177C0E2" w14:textId="66A9695A" w:rsidR="005776EE" w:rsidRDefault="005776EE" w:rsidP="00A30EAA">
            <w:pPr>
              <w:pStyle w:val="ListParagraph"/>
            </w:pPr>
            <w:r>
              <w:t>Who is affected?</w:t>
            </w:r>
          </w:p>
          <w:p w14:paraId="3A2F51CE" w14:textId="62EE2FB7" w:rsidR="005776EE" w:rsidRDefault="005776EE" w:rsidP="00A30EAA">
            <w:pPr>
              <w:pStyle w:val="ListParagraph"/>
            </w:pPr>
            <w:r>
              <w:t>Is serious harm likely? → If yes, it's an ELIGIBLE DATA BREACH</w:t>
            </w:r>
          </w:p>
          <w:p w14:paraId="44620C0D" w14:textId="77777777" w:rsidR="005776EE" w:rsidRDefault="005776EE" w:rsidP="00A30EAA">
            <w:pPr>
              <w:pStyle w:val="Body"/>
            </w:pPr>
            <w:r>
              <w:t xml:space="preserve">STEP 4: </w:t>
            </w:r>
            <w:r w:rsidRPr="00E1748E">
              <w:rPr>
                <w:b/>
                <w:bCs/>
              </w:rPr>
              <w:t>NOTIFY</w:t>
            </w:r>
            <w:r>
              <w:t xml:space="preserve"> (If eligible — as soon as practicable)</w:t>
            </w:r>
          </w:p>
          <w:p w14:paraId="00751BC1" w14:textId="64C7BCDB" w:rsidR="005776EE" w:rsidRDefault="005776EE" w:rsidP="00A30EAA">
            <w:pPr>
              <w:pStyle w:val="ListParagraph"/>
            </w:pPr>
            <w:r>
              <w:t>Notify OAIC via online form</w:t>
            </w:r>
          </w:p>
          <w:p w14:paraId="27B6641A" w14:textId="5DA51598" w:rsidR="005776EE" w:rsidRDefault="005776EE" w:rsidP="00A30EAA">
            <w:pPr>
              <w:pStyle w:val="ListParagraph"/>
            </w:pPr>
            <w:r>
              <w:t>Notify affected individuals with recommended steps</w:t>
            </w:r>
          </w:p>
        </w:tc>
      </w:tr>
    </w:tbl>
    <w:p w14:paraId="1195BC50" w14:textId="0AB8E3C4" w:rsidR="005776EE" w:rsidRDefault="005776EE" w:rsidP="00A30EAA">
      <w:pPr>
        <w:pStyle w:val="NumberedHeading2"/>
      </w:pPr>
      <w:bookmarkStart w:id="411" w:name="_Toc220070021"/>
      <w:bookmarkStart w:id="412" w:name="_Toc220655162"/>
      <w:bookmarkStart w:id="413" w:name="_Toc231895252"/>
      <w:r>
        <w:t>Quick Reference: Key Contacts</w:t>
      </w:r>
      <w:bookmarkEnd w:id="411"/>
      <w:bookmarkEnd w:id="412"/>
      <w:bookmarkEnd w:id="413"/>
    </w:p>
    <w:tbl>
      <w:tblPr>
        <w:tblW w:w="5000" w:type="pct"/>
        <w:tblCellMar>
          <w:left w:w="10" w:type="dxa"/>
          <w:right w:w="10" w:type="dxa"/>
        </w:tblCellMar>
        <w:tblLook w:val="04A0" w:firstRow="1" w:lastRow="0" w:firstColumn="1" w:lastColumn="0" w:noHBand="0" w:noVBand="1"/>
      </w:tblPr>
      <w:tblGrid>
        <w:gridCol w:w="3500"/>
        <w:gridCol w:w="5526"/>
      </w:tblGrid>
      <w:tr w:rsidR="005776EE" w14:paraId="01E65D91" w14:textId="77777777" w:rsidTr="00360D72">
        <w:tc>
          <w:tcPr>
            <w:tcW w:w="3500" w:type="dxa"/>
            <w:shd w:val="clear" w:color="auto" w:fill="0F2D52"/>
            <w:tcMar>
              <w:top w:w="100" w:type="dxa"/>
              <w:left w:w="120" w:type="dxa"/>
              <w:bottom w:w="100" w:type="dxa"/>
              <w:right w:w="120" w:type="dxa"/>
            </w:tcMar>
          </w:tcPr>
          <w:p w14:paraId="38660F7F" w14:textId="77777777" w:rsidR="005776EE" w:rsidRDefault="005776EE" w:rsidP="00A860BB">
            <w:pPr>
              <w:pStyle w:val="TableHeading"/>
            </w:pPr>
            <w:r>
              <w:t>Contact</w:t>
            </w:r>
          </w:p>
        </w:tc>
        <w:tc>
          <w:tcPr>
            <w:tcW w:w="5526" w:type="dxa"/>
            <w:shd w:val="clear" w:color="auto" w:fill="0F2D52"/>
            <w:tcMar>
              <w:top w:w="100" w:type="dxa"/>
              <w:left w:w="120" w:type="dxa"/>
              <w:bottom w:w="100" w:type="dxa"/>
              <w:right w:w="120" w:type="dxa"/>
            </w:tcMar>
          </w:tcPr>
          <w:p w14:paraId="3E6D4B16" w14:textId="77777777" w:rsidR="005776EE" w:rsidRDefault="005776EE" w:rsidP="00A860BB">
            <w:pPr>
              <w:pStyle w:val="TableHeading"/>
            </w:pPr>
            <w:r>
              <w:t>Details</w:t>
            </w:r>
          </w:p>
        </w:tc>
      </w:tr>
      <w:tr w:rsidR="005776EE" w14:paraId="36184F2C" w14:textId="77777777" w:rsidTr="00360D72">
        <w:tc>
          <w:tcPr>
            <w:tcW w:w="3500" w:type="dxa"/>
            <w:tcBorders>
              <w:bottom w:val="single" w:sz="4" w:space="0" w:color="auto"/>
            </w:tcBorders>
            <w:tcMar>
              <w:top w:w="100" w:type="dxa"/>
              <w:left w:w="120" w:type="dxa"/>
              <w:bottom w:w="100" w:type="dxa"/>
              <w:right w:w="120" w:type="dxa"/>
            </w:tcMar>
          </w:tcPr>
          <w:p w14:paraId="7DA03D98" w14:textId="77777777" w:rsidR="005776EE" w:rsidRDefault="005776EE" w:rsidP="00A860BB">
            <w:pPr>
              <w:pStyle w:val="Tablecontent"/>
            </w:pPr>
            <w:r>
              <w:t>Firm Privacy Officer</w:t>
            </w:r>
          </w:p>
        </w:tc>
        <w:tc>
          <w:tcPr>
            <w:tcW w:w="5526" w:type="dxa"/>
            <w:tcBorders>
              <w:bottom w:val="single" w:sz="4" w:space="0" w:color="auto"/>
            </w:tcBorders>
            <w:tcMar>
              <w:top w:w="100" w:type="dxa"/>
              <w:left w:w="120" w:type="dxa"/>
              <w:bottom w:w="100" w:type="dxa"/>
              <w:right w:w="120" w:type="dxa"/>
            </w:tcMar>
          </w:tcPr>
          <w:p w14:paraId="0767D9B9" w14:textId="77777777" w:rsidR="005776EE" w:rsidRDefault="005776EE" w:rsidP="00A860BB">
            <w:pPr>
              <w:pStyle w:val="Tablecontent"/>
            </w:pPr>
            <w:r>
              <w:t>[Insert name, phone, email]</w:t>
            </w:r>
          </w:p>
        </w:tc>
      </w:tr>
      <w:tr w:rsidR="005776EE" w14:paraId="00DCA085" w14:textId="77777777" w:rsidTr="00360D72">
        <w:tc>
          <w:tcPr>
            <w:tcW w:w="3500" w:type="dxa"/>
            <w:tcBorders>
              <w:top w:val="single" w:sz="4" w:space="0" w:color="auto"/>
              <w:bottom w:val="single" w:sz="4" w:space="0" w:color="auto"/>
            </w:tcBorders>
            <w:tcMar>
              <w:top w:w="100" w:type="dxa"/>
              <w:left w:w="120" w:type="dxa"/>
              <w:bottom w:w="100" w:type="dxa"/>
              <w:right w:w="120" w:type="dxa"/>
            </w:tcMar>
          </w:tcPr>
          <w:p w14:paraId="5DA210F7" w14:textId="77777777" w:rsidR="005776EE" w:rsidRDefault="005776EE" w:rsidP="00A860BB">
            <w:pPr>
              <w:pStyle w:val="Tablecontent"/>
            </w:pPr>
            <w:r>
              <w:t>OAIC (enquiries)</w:t>
            </w:r>
          </w:p>
        </w:tc>
        <w:tc>
          <w:tcPr>
            <w:tcW w:w="5526" w:type="dxa"/>
            <w:tcBorders>
              <w:top w:val="single" w:sz="4" w:space="0" w:color="auto"/>
              <w:bottom w:val="single" w:sz="4" w:space="0" w:color="auto"/>
            </w:tcBorders>
            <w:tcMar>
              <w:top w:w="100" w:type="dxa"/>
              <w:left w:w="120" w:type="dxa"/>
              <w:bottom w:w="100" w:type="dxa"/>
              <w:right w:w="120" w:type="dxa"/>
            </w:tcMar>
          </w:tcPr>
          <w:p w14:paraId="2D71C699" w14:textId="77777777" w:rsidR="005776EE" w:rsidRDefault="005776EE" w:rsidP="00A860BB">
            <w:pPr>
              <w:pStyle w:val="Tablecontent"/>
            </w:pPr>
            <w:r>
              <w:t>1300 363 992 / enquiries@oaic.gov.au</w:t>
            </w:r>
          </w:p>
        </w:tc>
      </w:tr>
      <w:tr w:rsidR="005776EE" w14:paraId="4811C9A4" w14:textId="77777777" w:rsidTr="00360D72">
        <w:tc>
          <w:tcPr>
            <w:tcW w:w="3500" w:type="dxa"/>
            <w:tcBorders>
              <w:top w:val="single" w:sz="4" w:space="0" w:color="auto"/>
              <w:bottom w:val="single" w:sz="4" w:space="0" w:color="auto"/>
            </w:tcBorders>
            <w:tcMar>
              <w:top w:w="100" w:type="dxa"/>
              <w:left w:w="120" w:type="dxa"/>
              <w:bottom w:w="100" w:type="dxa"/>
              <w:right w:w="120" w:type="dxa"/>
            </w:tcMar>
          </w:tcPr>
          <w:p w14:paraId="2B06C5FD" w14:textId="77777777" w:rsidR="005776EE" w:rsidRDefault="005776EE" w:rsidP="00A860BB">
            <w:pPr>
              <w:pStyle w:val="Tablecontent"/>
            </w:pPr>
            <w:r>
              <w:t>OAIC (NDB notification)</w:t>
            </w:r>
          </w:p>
        </w:tc>
        <w:tc>
          <w:tcPr>
            <w:tcW w:w="5526" w:type="dxa"/>
            <w:tcBorders>
              <w:top w:val="single" w:sz="4" w:space="0" w:color="auto"/>
              <w:bottom w:val="single" w:sz="4" w:space="0" w:color="auto"/>
            </w:tcBorders>
            <w:tcMar>
              <w:top w:w="100" w:type="dxa"/>
              <w:left w:w="120" w:type="dxa"/>
              <w:bottom w:w="100" w:type="dxa"/>
              <w:right w:w="120" w:type="dxa"/>
            </w:tcMar>
          </w:tcPr>
          <w:p w14:paraId="3DE6532D" w14:textId="77777777" w:rsidR="005776EE" w:rsidRDefault="005776EE" w:rsidP="00A860BB">
            <w:pPr>
              <w:pStyle w:val="Tablecontent"/>
            </w:pPr>
            <w:r>
              <w:t>www.oaic.gov.au/privacy/notifiable-data-breaches</w:t>
            </w:r>
          </w:p>
        </w:tc>
      </w:tr>
      <w:tr w:rsidR="005776EE" w14:paraId="33AC60D8" w14:textId="77777777" w:rsidTr="00360D72">
        <w:tc>
          <w:tcPr>
            <w:tcW w:w="3500" w:type="dxa"/>
            <w:tcBorders>
              <w:top w:val="single" w:sz="4" w:space="0" w:color="auto"/>
              <w:bottom w:val="single" w:sz="4" w:space="0" w:color="auto"/>
            </w:tcBorders>
            <w:tcMar>
              <w:top w:w="100" w:type="dxa"/>
              <w:left w:w="120" w:type="dxa"/>
              <w:bottom w:w="100" w:type="dxa"/>
              <w:right w:w="120" w:type="dxa"/>
            </w:tcMar>
          </w:tcPr>
          <w:p w14:paraId="6D71641A" w14:textId="77777777" w:rsidR="005776EE" w:rsidRDefault="005776EE" w:rsidP="00A860BB">
            <w:pPr>
              <w:pStyle w:val="Tablecontent"/>
            </w:pPr>
            <w:r>
              <w:t>AUSTRAC</w:t>
            </w:r>
          </w:p>
        </w:tc>
        <w:tc>
          <w:tcPr>
            <w:tcW w:w="5526" w:type="dxa"/>
            <w:tcBorders>
              <w:top w:val="single" w:sz="4" w:space="0" w:color="auto"/>
              <w:bottom w:val="single" w:sz="4" w:space="0" w:color="auto"/>
            </w:tcBorders>
            <w:tcMar>
              <w:top w:w="100" w:type="dxa"/>
              <w:left w:w="120" w:type="dxa"/>
              <w:bottom w:w="100" w:type="dxa"/>
              <w:right w:w="120" w:type="dxa"/>
            </w:tcMar>
          </w:tcPr>
          <w:p w14:paraId="321A3D3F" w14:textId="77777777" w:rsidR="005776EE" w:rsidRDefault="005776EE" w:rsidP="00A860BB">
            <w:pPr>
              <w:pStyle w:val="Tablecontent"/>
            </w:pPr>
            <w:r>
              <w:t>1300 021 037 / www.austrac.gov.au</w:t>
            </w:r>
          </w:p>
        </w:tc>
      </w:tr>
      <w:tr w:rsidR="005776EE" w14:paraId="6E23DB35" w14:textId="77777777" w:rsidTr="00360D72">
        <w:tc>
          <w:tcPr>
            <w:tcW w:w="3500" w:type="dxa"/>
            <w:tcBorders>
              <w:top w:val="single" w:sz="4" w:space="0" w:color="auto"/>
              <w:bottom w:val="single" w:sz="4" w:space="0" w:color="auto"/>
            </w:tcBorders>
            <w:tcMar>
              <w:top w:w="100" w:type="dxa"/>
              <w:left w:w="120" w:type="dxa"/>
              <w:bottom w:w="100" w:type="dxa"/>
              <w:right w:w="120" w:type="dxa"/>
            </w:tcMar>
          </w:tcPr>
          <w:p w14:paraId="770C18D4" w14:textId="77777777" w:rsidR="005776EE" w:rsidRDefault="005776EE" w:rsidP="00A860BB">
            <w:pPr>
              <w:pStyle w:val="Tablecontent"/>
            </w:pPr>
            <w:r>
              <w:t>IDCARE (breach support)</w:t>
            </w:r>
          </w:p>
        </w:tc>
        <w:tc>
          <w:tcPr>
            <w:tcW w:w="5526" w:type="dxa"/>
            <w:tcBorders>
              <w:top w:val="single" w:sz="4" w:space="0" w:color="auto"/>
              <w:bottom w:val="single" w:sz="4" w:space="0" w:color="auto"/>
            </w:tcBorders>
            <w:tcMar>
              <w:top w:w="100" w:type="dxa"/>
              <w:left w:w="120" w:type="dxa"/>
              <w:bottom w:w="100" w:type="dxa"/>
              <w:right w:w="120" w:type="dxa"/>
            </w:tcMar>
          </w:tcPr>
          <w:p w14:paraId="26217F78" w14:textId="77777777" w:rsidR="005776EE" w:rsidRDefault="005776EE" w:rsidP="00A860BB">
            <w:pPr>
              <w:pStyle w:val="Tablecontent"/>
            </w:pPr>
            <w:r>
              <w:t>1800 595 160 / www.idcare.org</w:t>
            </w:r>
          </w:p>
        </w:tc>
      </w:tr>
      <w:tr w:rsidR="005776EE" w14:paraId="08329EC5" w14:textId="77777777" w:rsidTr="00360D72">
        <w:tc>
          <w:tcPr>
            <w:tcW w:w="3500" w:type="dxa"/>
            <w:tcBorders>
              <w:top w:val="single" w:sz="4" w:space="0" w:color="auto"/>
              <w:bottom w:val="single" w:sz="4" w:space="0" w:color="auto"/>
            </w:tcBorders>
            <w:tcMar>
              <w:top w:w="100" w:type="dxa"/>
              <w:left w:w="120" w:type="dxa"/>
              <w:bottom w:w="100" w:type="dxa"/>
              <w:right w:w="120" w:type="dxa"/>
            </w:tcMar>
          </w:tcPr>
          <w:p w14:paraId="709D7E6E" w14:textId="77777777" w:rsidR="005776EE" w:rsidRDefault="005776EE" w:rsidP="00A860BB">
            <w:pPr>
              <w:pStyle w:val="Tablecontent"/>
            </w:pPr>
            <w:r>
              <w:t>Queensland Law Society</w:t>
            </w:r>
          </w:p>
        </w:tc>
        <w:tc>
          <w:tcPr>
            <w:tcW w:w="5526" w:type="dxa"/>
            <w:tcBorders>
              <w:top w:val="single" w:sz="4" w:space="0" w:color="auto"/>
              <w:bottom w:val="single" w:sz="4" w:space="0" w:color="auto"/>
            </w:tcBorders>
            <w:tcMar>
              <w:top w:w="100" w:type="dxa"/>
              <w:left w:w="120" w:type="dxa"/>
              <w:bottom w:w="100" w:type="dxa"/>
              <w:right w:w="120" w:type="dxa"/>
            </w:tcMar>
          </w:tcPr>
          <w:p w14:paraId="65083DAA" w14:textId="77777777" w:rsidR="005776EE" w:rsidRDefault="005776EE" w:rsidP="00A860BB">
            <w:pPr>
              <w:pStyle w:val="Tablecontent"/>
            </w:pPr>
            <w:r>
              <w:t>(07) 3842 5943 / www.qls.com.au</w:t>
            </w:r>
          </w:p>
        </w:tc>
      </w:tr>
      <w:tr w:rsidR="005776EE" w14:paraId="2E8B0F0D" w14:textId="77777777" w:rsidTr="00360D72">
        <w:tc>
          <w:tcPr>
            <w:tcW w:w="3500" w:type="dxa"/>
            <w:tcBorders>
              <w:top w:val="single" w:sz="4" w:space="0" w:color="auto"/>
              <w:bottom w:val="single" w:sz="4" w:space="0" w:color="auto"/>
            </w:tcBorders>
            <w:tcMar>
              <w:top w:w="100" w:type="dxa"/>
              <w:left w:w="120" w:type="dxa"/>
              <w:bottom w:w="100" w:type="dxa"/>
              <w:right w:w="120" w:type="dxa"/>
            </w:tcMar>
          </w:tcPr>
          <w:p w14:paraId="19019049" w14:textId="70DB8B68" w:rsidR="005776EE" w:rsidRDefault="00C348E9" w:rsidP="00A860BB">
            <w:pPr>
              <w:pStyle w:val="Tablecontent"/>
            </w:pPr>
            <w:r>
              <w:t>Lexon</w:t>
            </w:r>
          </w:p>
        </w:tc>
        <w:tc>
          <w:tcPr>
            <w:tcW w:w="5526" w:type="dxa"/>
            <w:tcBorders>
              <w:top w:val="single" w:sz="4" w:space="0" w:color="auto"/>
              <w:bottom w:val="single" w:sz="4" w:space="0" w:color="auto"/>
            </w:tcBorders>
            <w:tcMar>
              <w:top w:w="100" w:type="dxa"/>
              <w:left w:w="120" w:type="dxa"/>
              <w:bottom w:w="100" w:type="dxa"/>
              <w:right w:w="120" w:type="dxa"/>
            </w:tcMar>
          </w:tcPr>
          <w:p w14:paraId="6C08F425" w14:textId="046C08EF" w:rsidR="005776EE" w:rsidRDefault="00B32C0B" w:rsidP="00A860BB">
            <w:pPr>
              <w:pStyle w:val="Tablecontent"/>
            </w:pPr>
            <w:r>
              <w:t xml:space="preserve">(07) </w:t>
            </w:r>
            <w:r w:rsidR="007E6BD2">
              <w:t>3007 1266</w:t>
            </w:r>
          </w:p>
        </w:tc>
      </w:tr>
      <w:tr w:rsidR="005776EE" w14:paraId="6270C99E" w14:textId="77777777" w:rsidTr="00360D72">
        <w:tc>
          <w:tcPr>
            <w:tcW w:w="3500" w:type="dxa"/>
            <w:tcBorders>
              <w:top w:val="single" w:sz="4" w:space="0" w:color="auto"/>
              <w:bottom w:val="single" w:sz="4" w:space="0" w:color="auto"/>
            </w:tcBorders>
            <w:tcMar>
              <w:top w:w="100" w:type="dxa"/>
              <w:left w:w="120" w:type="dxa"/>
              <w:bottom w:w="100" w:type="dxa"/>
              <w:right w:w="120" w:type="dxa"/>
            </w:tcMar>
          </w:tcPr>
          <w:p w14:paraId="27CD36DF" w14:textId="77777777" w:rsidR="005776EE" w:rsidRDefault="005776EE" w:rsidP="00A860BB">
            <w:pPr>
              <w:pStyle w:val="Tablecontent"/>
            </w:pPr>
            <w:r>
              <w:t>Professional Indemnity Insurer</w:t>
            </w:r>
          </w:p>
        </w:tc>
        <w:tc>
          <w:tcPr>
            <w:tcW w:w="5526" w:type="dxa"/>
            <w:tcBorders>
              <w:top w:val="single" w:sz="4" w:space="0" w:color="auto"/>
              <w:bottom w:val="single" w:sz="4" w:space="0" w:color="auto"/>
            </w:tcBorders>
            <w:tcMar>
              <w:top w:w="100" w:type="dxa"/>
              <w:left w:w="120" w:type="dxa"/>
              <w:bottom w:w="100" w:type="dxa"/>
              <w:right w:w="120" w:type="dxa"/>
            </w:tcMar>
          </w:tcPr>
          <w:p w14:paraId="06BED7FD" w14:textId="77777777" w:rsidR="005776EE" w:rsidRDefault="005776EE" w:rsidP="00A860BB">
            <w:pPr>
              <w:pStyle w:val="Tablecontent"/>
            </w:pPr>
            <w:r>
              <w:t>[Insert insurer contact details]</w:t>
            </w:r>
          </w:p>
        </w:tc>
      </w:tr>
      <w:tr w:rsidR="005776EE" w14:paraId="66973C2B" w14:textId="77777777" w:rsidTr="00360D72">
        <w:tc>
          <w:tcPr>
            <w:tcW w:w="3500" w:type="dxa"/>
            <w:tcBorders>
              <w:top w:val="single" w:sz="4" w:space="0" w:color="auto"/>
              <w:bottom w:val="single" w:sz="4" w:space="0" w:color="auto"/>
            </w:tcBorders>
            <w:tcMar>
              <w:top w:w="100" w:type="dxa"/>
              <w:left w:w="120" w:type="dxa"/>
              <w:bottom w:w="100" w:type="dxa"/>
              <w:right w:w="120" w:type="dxa"/>
            </w:tcMar>
          </w:tcPr>
          <w:p w14:paraId="1BF3A1E5" w14:textId="77777777" w:rsidR="005776EE" w:rsidRDefault="005776EE" w:rsidP="00A860BB">
            <w:pPr>
              <w:pStyle w:val="Tablecontent"/>
            </w:pPr>
            <w:r>
              <w:t>IT Support / MSP</w:t>
            </w:r>
          </w:p>
        </w:tc>
        <w:tc>
          <w:tcPr>
            <w:tcW w:w="5526" w:type="dxa"/>
            <w:tcBorders>
              <w:top w:val="single" w:sz="4" w:space="0" w:color="auto"/>
              <w:bottom w:val="single" w:sz="4" w:space="0" w:color="auto"/>
            </w:tcBorders>
            <w:tcMar>
              <w:top w:w="100" w:type="dxa"/>
              <w:left w:w="120" w:type="dxa"/>
              <w:bottom w:w="100" w:type="dxa"/>
              <w:right w:w="120" w:type="dxa"/>
            </w:tcMar>
          </w:tcPr>
          <w:p w14:paraId="6C968C74" w14:textId="77777777" w:rsidR="005776EE" w:rsidRDefault="005776EE" w:rsidP="00A860BB">
            <w:pPr>
              <w:pStyle w:val="Tablecontent"/>
            </w:pPr>
            <w:r>
              <w:t>[Insert IT support contact details]</w:t>
            </w:r>
          </w:p>
        </w:tc>
      </w:tr>
    </w:tbl>
    <w:p w14:paraId="344CA619" w14:textId="77777777" w:rsidR="004D1E21" w:rsidRDefault="004D1E21" w:rsidP="00A860BB">
      <w:pPr>
        <w:pStyle w:val="Heading1"/>
      </w:pPr>
    </w:p>
    <w:p w14:paraId="684454BD" w14:textId="77777777" w:rsidR="004D1E21" w:rsidRDefault="004D1E21">
      <w:pPr>
        <w:spacing w:after="0"/>
        <w:rPr>
          <w:b/>
          <w:bCs/>
          <w:color w:val="0F2D52"/>
          <w:kern w:val="32"/>
          <w:sz w:val="32"/>
          <w:szCs w:val="32"/>
        </w:rPr>
      </w:pPr>
      <w:r>
        <w:br w:type="page"/>
      </w:r>
    </w:p>
    <w:p w14:paraId="2A00D2B1" w14:textId="7B8CEBF0" w:rsidR="005776EE" w:rsidRDefault="005776EE" w:rsidP="004D1E21">
      <w:pPr>
        <w:pStyle w:val="Heading1"/>
      </w:pPr>
      <w:bookmarkStart w:id="414" w:name="_Toc231895253"/>
      <w:r>
        <w:lastRenderedPageBreak/>
        <w:t xml:space="preserve">Implementation </w:t>
      </w:r>
      <w:r w:rsidRPr="004D1E21">
        <w:t>Checklist</w:t>
      </w:r>
      <w:r>
        <w:t xml:space="preserve"> &amp; Timeline</w:t>
      </w:r>
      <w:bookmarkEnd w:id="414"/>
    </w:p>
    <w:p w14:paraId="7C9FA019" w14:textId="2D61003D" w:rsidR="005776EE" w:rsidRDefault="006F2D08" w:rsidP="004D1E21">
      <w:pPr>
        <w:pStyle w:val="Heading2"/>
      </w:pPr>
      <w:bookmarkStart w:id="415" w:name="_Toc220070022"/>
      <w:bookmarkStart w:id="416" w:name="_Toc220655163"/>
      <w:bookmarkStart w:id="417" w:name="_Toc231895254"/>
      <w:r w:rsidRPr="004D1E21">
        <w:t>Implementation</w:t>
      </w:r>
      <w:r>
        <w:t xml:space="preserve"> overview</w:t>
      </w:r>
      <w:bookmarkEnd w:id="415"/>
      <w:bookmarkEnd w:id="416"/>
      <w:bookmarkEnd w:id="417"/>
    </w:p>
    <w:p w14:paraId="12CDCA15" w14:textId="77777777" w:rsidR="005776EE" w:rsidRDefault="005776EE" w:rsidP="00A30EAA">
      <w:pPr>
        <w:pStyle w:val="Body"/>
      </w:pPr>
      <w:r>
        <w:t>This toolkit provides Queensland law firms with practical templates and guidance for implementing Privacy Act compliance obligations arising from AML/CTF Tranche 2. All firms providing 'designated services' under the AML/CTF Act are small business reporting entities under the Privacy Act and must comply with Australian Privacy Principles (APPs).</w:t>
      </w:r>
    </w:p>
    <w:p w14:paraId="7BCE49CA" w14:textId="77777777" w:rsidR="005776EE" w:rsidRDefault="005776EE" w:rsidP="00A30EAA">
      <w:pPr>
        <w:pStyle w:val="Body"/>
      </w:pPr>
      <w:r>
        <w:t>The toolkit includes seven practical documents designed for immediate use by small-to-medium law firms.</w:t>
      </w:r>
    </w:p>
    <w:p w14:paraId="0392841E" w14:textId="71488BAA" w:rsidR="005776EE" w:rsidRPr="004D1E21" w:rsidRDefault="006F2D08" w:rsidP="004D1E21">
      <w:pPr>
        <w:pStyle w:val="Heading2"/>
      </w:pPr>
      <w:bookmarkStart w:id="418" w:name="_Toc220070024"/>
      <w:bookmarkStart w:id="419" w:name="_Toc220655165"/>
      <w:bookmarkStart w:id="420" w:name="_Toc231895255"/>
      <w:r w:rsidRPr="004D1E21">
        <w:t>Toolkit contents</w:t>
      </w:r>
      <w:bookmarkEnd w:id="418"/>
      <w:bookmarkEnd w:id="419"/>
      <w:bookmarkEnd w:id="420"/>
    </w:p>
    <w:p w14:paraId="26E32C86" w14:textId="77777777" w:rsidR="005776EE" w:rsidRDefault="005776EE" w:rsidP="00A30EAA">
      <w:pPr>
        <w:pStyle w:val="Body"/>
      </w:pPr>
      <w:r>
        <w:t>This implementation package includes seven practical documents:</w:t>
      </w:r>
    </w:p>
    <w:p w14:paraId="742FCEEF" w14:textId="77777777" w:rsidR="005776EE" w:rsidRDefault="005776EE" w:rsidP="00A860BB">
      <w:pPr>
        <w:pStyle w:val="ListNumber"/>
        <w:numPr>
          <w:ilvl w:val="0"/>
          <w:numId w:val="33"/>
        </w:numPr>
      </w:pPr>
      <w:r w:rsidRPr="00A860BB">
        <w:rPr>
          <w:b/>
          <w:bCs/>
        </w:rPr>
        <w:t>Implementation Checklist &amp; Timeline</w:t>
      </w:r>
      <w:r>
        <w:t xml:space="preserve"> (this document) — Master roadmap for privacy compliance</w:t>
      </w:r>
    </w:p>
    <w:p w14:paraId="6922959B" w14:textId="77777777" w:rsidR="005776EE" w:rsidRDefault="005776EE" w:rsidP="00A860BB">
      <w:pPr>
        <w:pStyle w:val="ListNumber"/>
      </w:pPr>
      <w:r>
        <w:rPr>
          <w:b/>
          <w:bCs/>
        </w:rPr>
        <w:t>Template Privacy Policy</w:t>
      </w:r>
      <w:r>
        <w:t xml:space="preserve"> — APP-compliant policy with AML/CTF-specific clauses</w:t>
      </w:r>
    </w:p>
    <w:p w14:paraId="6ED23765" w14:textId="77777777" w:rsidR="005776EE" w:rsidRDefault="005776EE" w:rsidP="00A860BB">
      <w:pPr>
        <w:pStyle w:val="ListNumber"/>
      </w:pPr>
      <w:r>
        <w:rPr>
          <w:b/>
          <w:bCs/>
        </w:rPr>
        <w:t>Collection Notice Template</w:t>
      </w:r>
      <w:r>
        <w:t xml:space="preserve"> — APP 5 compliant notice for client onboarding (KYC/CDD)</w:t>
      </w:r>
    </w:p>
    <w:p w14:paraId="11A4009A" w14:textId="77777777" w:rsidR="005776EE" w:rsidRDefault="005776EE" w:rsidP="00A860BB">
      <w:pPr>
        <w:pStyle w:val="ListNumber"/>
      </w:pPr>
      <w:r>
        <w:rPr>
          <w:b/>
          <w:bCs/>
        </w:rPr>
        <w:t>Personal Information Register</w:t>
      </w:r>
      <w:r>
        <w:t xml:space="preserve"> — Record of personal information flows and privacy risks</w:t>
      </w:r>
    </w:p>
    <w:p w14:paraId="5BB7BE6E" w14:textId="77777777" w:rsidR="005776EE" w:rsidRDefault="005776EE" w:rsidP="00A860BB">
      <w:pPr>
        <w:pStyle w:val="ListNumber"/>
      </w:pPr>
      <w:r>
        <w:rPr>
          <w:b/>
          <w:bCs/>
        </w:rPr>
        <w:t>Data Breach Response Plan</w:t>
      </w:r>
      <w:r>
        <w:t xml:space="preserve"> — Notifiable Data Breaches (NDB) scheme procedures</w:t>
      </w:r>
    </w:p>
    <w:p w14:paraId="33115B6D" w14:textId="77777777" w:rsidR="005776EE" w:rsidRDefault="005776EE" w:rsidP="00A860BB">
      <w:pPr>
        <w:pStyle w:val="ListNumber"/>
      </w:pPr>
      <w:r>
        <w:rPr>
          <w:b/>
          <w:bCs/>
        </w:rPr>
        <w:t>Privacy Impact Assessment</w:t>
      </w:r>
      <w:r>
        <w:t xml:space="preserve"> — Threshold PIA tool for new systems and processes</w:t>
      </w:r>
    </w:p>
    <w:p w14:paraId="3BED39CB" w14:textId="77777777" w:rsidR="005776EE" w:rsidRDefault="005776EE" w:rsidP="00A860BB">
      <w:pPr>
        <w:pStyle w:val="ListNumber"/>
      </w:pPr>
      <w:r>
        <w:rPr>
          <w:b/>
          <w:bCs/>
        </w:rPr>
        <w:t>Staff Training Framework</w:t>
      </w:r>
      <w:r>
        <w:t xml:space="preserve"> — Privacy awareness training outline with sample materials</w:t>
      </w:r>
    </w:p>
    <w:p w14:paraId="76B092F0" w14:textId="47882753" w:rsidR="00C63F96" w:rsidRPr="00C63F96" w:rsidRDefault="009C5629" w:rsidP="00C63F96">
      <w:pPr>
        <w:pStyle w:val="Heading1"/>
      </w:pPr>
      <w:bookmarkStart w:id="421" w:name="_Toc231895256"/>
      <w:r>
        <w:t>Privacy project – simple imp</w:t>
      </w:r>
      <w:r w:rsidR="00C63F96">
        <w:t>lementation</w:t>
      </w:r>
      <w:bookmarkEnd w:id="421"/>
    </w:p>
    <w:p w14:paraId="1AB59D98" w14:textId="77777777" w:rsidR="005776EE" w:rsidRDefault="005776EE" w:rsidP="00A30EAA">
      <w:pPr>
        <w:pStyle w:val="Body"/>
      </w:pPr>
      <w:r>
        <w:t>Complete these tasks in sequence to establish baseline privacy compliance:</w:t>
      </w:r>
    </w:p>
    <w:p w14:paraId="446B8737" w14:textId="6770904C" w:rsidR="005776EE" w:rsidRDefault="005776EE" w:rsidP="004D1E21">
      <w:pPr>
        <w:pStyle w:val="Heading2"/>
        <w:spacing w:after="0"/>
      </w:pPr>
      <w:bookmarkStart w:id="422" w:name="_Toc231895257"/>
      <w:bookmarkStart w:id="423" w:name="_Toc220070026"/>
      <w:bookmarkStart w:id="424" w:name="_Toc220655167"/>
      <w:r>
        <w:t xml:space="preserve">Phase 1: </w:t>
      </w:r>
      <w:r w:rsidRPr="004D1E21">
        <w:t>Foundation</w:t>
      </w:r>
      <w:bookmarkEnd w:id="422"/>
      <w:r>
        <w:t xml:space="preserve"> </w:t>
      </w:r>
      <w:bookmarkEnd w:id="423"/>
      <w:bookmarkEnd w:id="424"/>
    </w:p>
    <w:p w14:paraId="6C2F2F41" w14:textId="243D118F" w:rsidR="005776EE" w:rsidRDefault="005776EE" w:rsidP="00A30EAA">
      <w:pPr>
        <w:pStyle w:val="ChecklistListParagraph"/>
      </w:pPr>
      <w:r>
        <w:t>Conduct threshold assessment: Confirm firm provides 'designated services' under AML/CTF Act</w:t>
      </w:r>
    </w:p>
    <w:p w14:paraId="6934CE7E" w14:textId="7A121F06" w:rsidR="005776EE" w:rsidRDefault="005776EE" w:rsidP="00A30EAA">
      <w:pPr>
        <w:pStyle w:val="ChecklistListParagraph"/>
      </w:pPr>
      <w:r>
        <w:t>Assign Privacy Officer role (may be Principal or Practice Manager)</w:t>
      </w:r>
    </w:p>
    <w:p w14:paraId="29E2979C" w14:textId="26B7F3D6" w:rsidR="005776EE" w:rsidRDefault="005776EE" w:rsidP="00A30EAA">
      <w:pPr>
        <w:pStyle w:val="ChecklistListParagraph"/>
      </w:pPr>
      <w:r>
        <w:t>Complete Personal Information Register (Document 4) to map data flows</w:t>
      </w:r>
    </w:p>
    <w:p w14:paraId="74DEFB5C" w14:textId="0568F627" w:rsidR="005776EE" w:rsidRDefault="00E32B44" w:rsidP="00A30EAA">
      <w:pPr>
        <w:pStyle w:val="ChecklistListParagraph"/>
      </w:pPr>
      <w:r>
        <w:t xml:space="preserve">Undertake </w:t>
      </w:r>
      <w:proofErr w:type="spellStart"/>
      <w:r>
        <w:t>self education</w:t>
      </w:r>
      <w:proofErr w:type="spellEnd"/>
      <w:r>
        <w:t xml:space="preserve"> to ascertain firm’s obligations</w:t>
      </w:r>
    </w:p>
    <w:p w14:paraId="295DE166" w14:textId="321A07B7" w:rsidR="005776EE" w:rsidRDefault="005776EE" w:rsidP="004D1E21">
      <w:pPr>
        <w:pStyle w:val="Heading2"/>
        <w:spacing w:after="0"/>
      </w:pPr>
      <w:bookmarkStart w:id="425" w:name="_Toc231895258"/>
      <w:bookmarkStart w:id="426" w:name="_Toc220070027"/>
      <w:bookmarkStart w:id="427" w:name="_Toc220655168"/>
      <w:r>
        <w:t>Phase 2: Documentation</w:t>
      </w:r>
      <w:bookmarkEnd w:id="425"/>
      <w:r>
        <w:t xml:space="preserve"> </w:t>
      </w:r>
      <w:bookmarkEnd w:id="426"/>
      <w:bookmarkEnd w:id="427"/>
    </w:p>
    <w:p w14:paraId="119CCBF7" w14:textId="7429DF50" w:rsidR="005776EE" w:rsidRDefault="005776EE" w:rsidP="00A30EAA">
      <w:pPr>
        <w:pStyle w:val="ChecklistListParagraph"/>
      </w:pPr>
      <w:r>
        <w:t>Customize Template Privacy Policy (Document 2) for firm's specific practices</w:t>
      </w:r>
    </w:p>
    <w:p w14:paraId="47498844" w14:textId="2278177D" w:rsidR="005776EE" w:rsidRDefault="005776EE" w:rsidP="00A30EAA">
      <w:pPr>
        <w:pStyle w:val="ChecklistListParagraph"/>
      </w:pPr>
      <w:r>
        <w:t>Publish privacy policy on firm website and make available in office</w:t>
      </w:r>
    </w:p>
    <w:p w14:paraId="6AFD61C2" w14:textId="796B3FB6" w:rsidR="005776EE" w:rsidRDefault="005776EE" w:rsidP="00A30EAA">
      <w:pPr>
        <w:pStyle w:val="ChecklistListParagraph"/>
      </w:pPr>
      <w:r>
        <w:t>Adapt Collection Notice Template (Document 3) for client onboarding process</w:t>
      </w:r>
    </w:p>
    <w:p w14:paraId="159C2D24" w14:textId="400776F4" w:rsidR="005776EE" w:rsidRDefault="005776EE" w:rsidP="00A30EAA">
      <w:pPr>
        <w:pStyle w:val="ChecklistListParagraph"/>
      </w:pPr>
      <w:r>
        <w:t>Update client engagement letters to reference privacy policy and collection notice</w:t>
      </w:r>
    </w:p>
    <w:p w14:paraId="237C73A7" w14:textId="21A7DE4A" w:rsidR="005776EE" w:rsidRDefault="005776EE" w:rsidP="00A30EAA">
      <w:pPr>
        <w:pStyle w:val="ChecklistListParagraph"/>
      </w:pPr>
      <w:r>
        <w:t>Create data breach response procedures using Document 5</w:t>
      </w:r>
    </w:p>
    <w:p w14:paraId="786DA2A2" w14:textId="2BA6CED9" w:rsidR="005776EE" w:rsidRDefault="005776EE" w:rsidP="004D1E21">
      <w:pPr>
        <w:pStyle w:val="Heading2"/>
        <w:spacing w:after="0"/>
      </w:pPr>
      <w:bookmarkStart w:id="428" w:name="_Toc231895259"/>
      <w:bookmarkStart w:id="429" w:name="_Toc220070028"/>
      <w:bookmarkStart w:id="430" w:name="_Toc220655169"/>
      <w:r>
        <w:t>Phase 3: Systems &amp; Training</w:t>
      </w:r>
      <w:bookmarkEnd w:id="428"/>
      <w:r>
        <w:t xml:space="preserve"> </w:t>
      </w:r>
      <w:bookmarkEnd w:id="429"/>
      <w:bookmarkEnd w:id="430"/>
    </w:p>
    <w:p w14:paraId="2105204F" w14:textId="12AA1302" w:rsidR="005776EE" w:rsidRDefault="005776EE" w:rsidP="00A30EAA">
      <w:pPr>
        <w:pStyle w:val="ChecklistListParagraph"/>
      </w:pPr>
      <w:r>
        <w:t>Review current technology systems against APP 11 security requirements</w:t>
      </w:r>
    </w:p>
    <w:p w14:paraId="5CB52920" w14:textId="30178DDD" w:rsidR="005776EE" w:rsidRDefault="005776EE" w:rsidP="00A30EAA">
      <w:pPr>
        <w:pStyle w:val="ChecklistListParagraph"/>
      </w:pPr>
      <w:r>
        <w:t>Conduct Privacy Impact Assessment (Document 6) for any new/planned systems</w:t>
      </w:r>
    </w:p>
    <w:p w14:paraId="2CF793D5" w14:textId="4CECB639" w:rsidR="005776EE" w:rsidRDefault="005776EE" w:rsidP="00A30EAA">
      <w:pPr>
        <w:pStyle w:val="ChecklistListParagraph"/>
      </w:pPr>
      <w:r>
        <w:t>Implement Staff Training Framework (Document 7) — deliver initial training session</w:t>
      </w:r>
    </w:p>
    <w:p w14:paraId="30EF18BD" w14:textId="2B393681" w:rsidR="005776EE" w:rsidRDefault="005776EE" w:rsidP="00A30EAA">
      <w:pPr>
        <w:pStyle w:val="ChecklistListParagraph"/>
      </w:pPr>
      <w:r>
        <w:t>Document training attendance and maintain training records</w:t>
      </w:r>
    </w:p>
    <w:p w14:paraId="5F94D3A4" w14:textId="7668BD75" w:rsidR="005776EE" w:rsidRDefault="005776EE" w:rsidP="00A30EAA">
      <w:pPr>
        <w:pStyle w:val="ChecklistListParagraph"/>
      </w:pPr>
      <w:r>
        <w:t>Establish process for privacy inquiries and complaints</w:t>
      </w:r>
    </w:p>
    <w:p w14:paraId="4AF3C5F5" w14:textId="77777777" w:rsidR="004D1E21" w:rsidRDefault="004D1E21">
      <w:pPr>
        <w:spacing w:after="0"/>
        <w:rPr>
          <w:b/>
          <w:bCs/>
          <w:iCs/>
          <w:color w:val="0F2D52"/>
          <w:sz w:val="28"/>
          <w:szCs w:val="28"/>
        </w:rPr>
      </w:pPr>
      <w:bookmarkStart w:id="431" w:name="_Toc220070029"/>
      <w:bookmarkStart w:id="432" w:name="_Toc220655170"/>
      <w:r>
        <w:br w:type="page"/>
      </w:r>
    </w:p>
    <w:p w14:paraId="6B881145" w14:textId="58E4573E" w:rsidR="005776EE" w:rsidRDefault="005776EE" w:rsidP="004D1E21">
      <w:pPr>
        <w:pStyle w:val="Heading2"/>
        <w:spacing w:after="0"/>
      </w:pPr>
      <w:bookmarkStart w:id="433" w:name="_Toc231895260"/>
      <w:r>
        <w:lastRenderedPageBreak/>
        <w:t>Phase 4: AML/CTF Integration</w:t>
      </w:r>
      <w:bookmarkEnd w:id="433"/>
      <w:r>
        <w:t xml:space="preserve"> </w:t>
      </w:r>
      <w:bookmarkEnd w:id="431"/>
      <w:bookmarkEnd w:id="432"/>
    </w:p>
    <w:p w14:paraId="5E0B63F9" w14:textId="7E5DFABA" w:rsidR="005776EE" w:rsidRDefault="005776EE" w:rsidP="00A30EAA">
      <w:pPr>
        <w:pStyle w:val="ChecklistListParagraph"/>
      </w:pPr>
      <w:r>
        <w:t>Register with AUSTRAC (deadline: 31 March 2026)</w:t>
      </w:r>
    </w:p>
    <w:p w14:paraId="7607347A" w14:textId="50D7B595" w:rsidR="005776EE" w:rsidRDefault="005776EE" w:rsidP="00A30EAA">
      <w:pPr>
        <w:pStyle w:val="ChecklistListParagraph"/>
      </w:pPr>
      <w:r>
        <w:t>Implement AML/CTF customer due diligence (CDD) procedures</w:t>
      </w:r>
    </w:p>
    <w:p w14:paraId="0D75112D" w14:textId="6069AB26" w:rsidR="005776EE" w:rsidRDefault="00E45D8C" w:rsidP="00A30EAA">
      <w:pPr>
        <w:pStyle w:val="ChecklistListParagraph"/>
      </w:pPr>
      <w:r>
        <w:t xml:space="preserve">Determine what regulated </w:t>
      </w:r>
      <w:r w:rsidR="00933181">
        <w:t>personal information is likely to be collected during CDD and how to handle that.</w:t>
      </w:r>
    </w:p>
    <w:p w14:paraId="044E35BD" w14:textId="1CBB81A7" w:rsidR="005776EE" w:rsidRDefault="005776EE" w:rsidP="00A30EAA">
      <w:pPr>
        <w:pStyle w:val="ChecklistListParagraph"/>
      </w:pPr>
      <w:r>
        <w:t xml:space="preserve">Establish record retention </w:t>
      </w:r>
      <w:r w:rsidR="00933181">
        <w:t>policy</w:t>
      </w:r>
      <w:r>
        <w:t xml:space="preserve"> </w:t>
      </w:r>
    </w:p>
    <w:p w14:paraId="477043FD" w14:textId="5372C9DD" w:rsidR="005776EE" w:rsidRDefault="005776EE" w:rsidP="004D1E21">
      <w:pPr>
        <w:pStyle w:val="Heading2"/>
        <w:spacing w:after="0"/>
      </w:pPr>
      <w:bookmarkStart w:id="434" w:name="_Toc231895261"/>
      <w:bookmarkStart w:id="435" w:name="_Toc220070030"/>
      <w:bookmarkStart w:id="436" w:name="_Toc220655171"/>
      <w:r>
        <w:t>Phase 5: Testing &amp; Refinement</w:t>
      </w:r>
      <w:bookmarkEnd w:id="434"/>
      <w:r>
        <w:t xml:space="preserve"> </w:t>
      </w:r>
      <w:bookmarkEnd w:id="435"/>
      <w:bookmarkEnd w:id="436"/>
    </w:p>
    <w:p w14:paraId="38ED20D2" w14:textId="228D2B1B" w:rsidR="005776EE" w:rsidRDefault="005B528A" w:rsidP="00A30EAA">
      <w:pPr>
        <w:pStyle w:val="ChecklistListParagraph"/>
      </w:pPr>
      <w:r>
        <w:t>Review</w:t>
      </w:r>
      <w:r w:rsidR="005776EE">
        <w:t xml:space="preserve"> data breach response procedures with </w:t>
      </w:r>
      <w:r>
        <w:t>IT</w:t>
      </w:r>
      <w:r w:rsidR="00933181">
        <w:t xml:space="preserve"> support team. </w:t>
      </w:r>
    </w:p>
    <w:p w14:paraId="471A21ED" w14:textId="67076A7D" w:rsidR="005776EE" w:rsidRDefault="0090416F" w:rsidP="00A30EAA">
      <w:pPr>
        <w:pStyle w:val="ChecklistListParagraph"/>
      </w:pPr>
      <w:r>
        <w:t>Schedule consideration of ongoing cybersecurity improvement.</w:t>
      </w:r>
    </w:p>
    <w:p w14:paraId="50944A14" w14:textId="58D7BA00" w:rsidR="005776EE" w:rsidRDefault="005776EE" w:rsidP="00A30EAA">
      <w:pPr>
        <w:pStyle w:val="ChecklistListParagraph"/>
      </w:pPr>
      <w:r>
        <w:t>Schedule annual privacy compliance review date</w:t>
      </w:r>
    </w:p>
    <w:p w14:paraId="4F0557ED" w14:textId="6B85A747" w:rsidR="005776EE" w:rsidRPr="00E47100" w:rsidRDefault="005776EE" w:rsidP="00DB7F49">
      <w:pPr>
        <w:pStyle w:val="Heading4"/>
      </w:pPr>
      <w:r w:rsidRPr="00E47100">
        <w:t>DISCLAIMER</w:t>
      </w:r>
    </w:p>
    <w:p w14:paraId="6D5E61A4" w14:textId="77777777" w:rsidR="0090416F" w:rsidRDefault="005776EE" w:rsidP="00A30EAA">
      <w:pPr>
        <w:pStyle w:val="Body"/>
      </w:pPr>
      <w:r>
        <w:t xml:space="preserve">This toolkit provides general guidance only and is not legal advice. </w:t>
      </w:r>
    </w:p>
    <w:p w14:paraId="11E27F7F" w14:textId="70DC6860" w:rsidR="005776EE" w:rsidRDefault="005776EE" w:rsidP="00A30EAA">
      <w:pPr>
        <w:pStyle w:val="Body"/>
      </w:pPr>
      <w:r>
        <w:t xml:space="preserve">Queensland Law Society — </w:t>
      </w:r>
      <w:r w:rsidR="000D395D">
        <w:t>May</w:t>
      </w:r>
      <w:r>
        <w:t xml:space="preserve"> 2026</w:t>
      </w:r>
    </w:p>
    <w:p w14:paraId="6EE1D252" w14:textId="163F2D32" w:rsidR="00C10B01" w:rsidRPr="00C10B01" w:rsidRDefault="00C10B01" w:rsidP="004D1E21">
      <w:pPr>
        <w:pStyle w:val="Heading4"/>
      </w:pPr>
      <w:r w:rsidRPr="00C10B01">
        <w:t xml:space="preserve">AI Usage </w:t>
      </w:r>
      <w:r w:rsidRPr="004D1E21">
        <w:t>statement</w:t>
      </w:r>
    </w:p>
    <w:tbl>
      <w:tblPr>
        <w:tblStyle w:val="TableGrid"/>
        <w:tblW w:w="0" w:type="auto"/>
        <w:tblCellMar>
          <w:top w:w="284" w:type="dxa"/>
          <w:left w:w="284" w:type="dxa"/>
          <w:bottom w:w="284" w:type="dxa"/>
          <w:right w:w="284" w:type="dxa"/>
        </w:tblCellMar>
        <w:tblLook w:val="04A0" w:firstRow="1" w:lastRow="0" w:firstColumn="1" w:lastColumn="0" w:noHBand="0" w:noVBand="1"/>
      </w:tblPr>
      <w:tblGrid>
        <w:gridCol w:w="9016"/>
      </w:tblGrid>
      <w:tr w:rsidR="00CA451E" w14:paraId="049FAC22" w14:textId="77777777" w:rsidTr="00A238C1">
        <w:tc>
          <w:tcPr>
            <w:tcW w:w="9016" w:type="dxa"/>
          </w:tcPr>
          <w:p w14:paraId="00DA3E73" w14:textId="09108CF4" w:rsidR="00CA451E" w:rsidRPr="00CA451E" w:rsidRDefault="00CA451E" w:rsidP="00A30EAA">
            <w:pPr>
              <w:pStyle w:val="Body"/>
            </w:pPr>
            <w:r w:rsidRPr="00CA451E">
              <w:rPr>
                <w:lang w:val="en-US"/>
              </w:rPr>
              <w:t>Literature review:</w:t>
            </w:r>
            <w:r w:rsidR="000F00B7">
              <w:rPr>
                <w:lang w:val="en-US"/>
              </w:rPr>
              <w:t xml:space="preserve">  </w:t>
            </w:r>
            <w:r w:rsidRPr="00CA451E">
              <w:rPr>
                <w:lang w:val="en-US"/>
              </w:rPr>
              <w:t>Claude Opus 4.6</w:t>
            </w:r>
          </w:p>
          <w:p w14:paraId="4F9A7314" w14:textId="1CA44BB3" w:rsidR="00CA451E" w:rsidRPr="00CA451E" w:rsidRDefault="00CA451E" w:rsidP="00A30EAA">
            <w:pPr>
              <w:pStyle w:val="Body"/>
            </w:pPr>
            <w:r w:rsidRPr="00CA451E">
              <w:rPr>
                <w:lang w:val="en-US"/>
              </w:rPr>
              <w:t>Briefing paper:</w:t>
            </w:r>
            <w:r w:rsidRPr="00CA451E">
              <w:rPr>
                <w:lang w:val="en-US"/>
              </w:rPr>
              <w:tab/>
              <w:t>Claude Opus 4.6</w:t>
            </w:r>
          </w:p>
          <w:p w14:paraId="733DB409" w14:textId="477A4A2C" w:rsidR="00CA451E" w:rsidRPr="00CA451E" w:rsidRDefault="00CA451E" w:rsidP="00A30EAA">
            <w:pPr>
              <w:pStyle w:val="Body"/>
            </w:pPr>
            <w:r>
              <w:rPr>
                <w:lang w:val="en-US"/>
              </w:rPr>
              <w:t>Guide</w:t>
            </w:r>
            <w:r w:rsidRPr="00CA451E">
              <w:rPr>
                <w:lang w:val="en-US"/>
              </w:rPr>
              <w:t xml:space="preserve"> content drafting:</w:t>
            </w:r>
            <w:r w:rsidRPr="00CA451E">
              <w:rPr>
                <w:lang w:val="en-US"/>
              </w:rPr>
              <w:tab/>
            </w:r>
            <w:r>
              <w:rPr>
                <w:lang w:val="en-US"/>
              </w:rPr>
              <w:t>Wireframe, Claude Opus 4.7</w:t>
            </w:r>
            <w:r w:rsidR="00DA0AC0">
              <w:rPr>
                <w:lang w:val="en-US"/>
              </w:rPr>
              <w:t xml:space="preserve">, </w:t>
            </w:r>
            <w:r w:rsidR="000F00B7">
              <w:rPr>
                <w:lang w:val="en-US"/>
              </w:rPr>
              <w:t>Document drafting</w:t>
            </w:r>
            <w:r w:rsidR="00DA0AC0">
              <w:rPr>
                <w:lang w:val="en-US"/>
              </w:rPr>
              <w:t xml:space="preserve">: </w:t>
            </w:r>
            <w:r w:rsidRPr="00CA451E">
              <w:rPr>
                <w:lang w:val="en-US"/>
              </w:rPr>
              <w:t>N/a</w:t>
            </w:r>
          </w:p>
          <w:p w14:paraId="2130A68C" w14:textId="7380021D" w:rsidR="00CA451E" w:rsidRPr="00CA451E" w:rsidRDefault="00DA0AC0" w:rsidP="00A30EAA">
            <w:pPr>
              <w:pStyle w:val="Body"/>
            </w:pPr>
            <w:r>
              <w:rPr>
                <w:lang w:val="en-US"/>
              </w:rPr>
              <w:t>Page</w:t>
            </w:r>
            <w:r w:rsidR="00CA451E" w:rsidRPr="00CA451E">
              <w:rPr>
                <w:lang w:val="en-US"/>
              </w:rPr>
              <w:t xml:space="preserve"> formatting</w:t>
            </w:r>
            <w:r>
              <w:rPr>
                <w:lang w:val="en-US"/>
              </w:rPr>
              <w:t>, footnotes</w:t>
            </w:r>
            <w:r w:rsidR="00CA451E" w:rsidRPr="00CA451E">
              <w:rPr>
                <w:lang w:val="en-US"/>
              </w:rPr>
              <w:t>:</w:t>
            </w:r>
            <w:r w:rsidR="000F00B7">
              <w:rPr>
                <w:lang w:val="en-US"/>
              </w:rPr>
              <w:t xml:space="preserve"> </w:t>
            </w:r>
            <w:r w:rsidR="00CA451E" w:rsidRPr="00CA451E">
              <w:rPr>
                <w:lang w:val="en-US"/>
              </w:rPr>
              <w:t xml:space="preserve">Claude Opus 4.6, </w:t>
            </w:r>
            <w:proofErr w:type="spellStart"/>
            <w:r w:rsidR="00CA451E" w:rsidRPr="00CA451E">
              <w:rPr>
                <w:lang w:val="en-US"/>
              </w:rPr>
              <w:t>pptxgenjs</w:t>
            </w:r>
            <w:proofErr w:type="spellEnd"/>
          </w:p>
          <w:p w14:paraId="62720447" w14:textId="6FEBD5BE" w:rsidR="00CA451E" w:rsidRPr="00CA451E" w:rsidRDefault="00DA0AC0" w:rsidP="00A30EAA">
            <w:pPr>
              <w:pStyle w:val="Body"/>
            </w:pPr>
            <w:r>
              <w:rPr>
                <w:lang w:val="en-US"/>
              </w:rPr>
              <w:t>Template document drafting</w:t>
            </w:r>
            <w:r w:rsidR="00CA451E" w:rsidRPr="00CA451E">
              <w:rPr>
                <w:lang w:val="en-US"/>
              </w:rPr>
              <w:t>:</w:t>
            </w:r>
            <w:r w:rsidR="000F00B7">
              <w:rPr>
                <w:lang w:val="en-US"/>
              </w:rPr>
              <w:t xml:space="preserve"> </w:t>
            </w:r>
            <w:r>
              <w:rPr>
                <w:lang w:val="en-US"/>
              </w:rPr>
              <w:t xml:space="preserve">Wireframe, Claude Opus 4.7, </w:t>
            </w:r>
            <w:r w:rsidR="000F00B7">
              <w:rPr>
                <w:lang w:val="en-US"/>
              </w:rPr>
              <w:t>first draft Chat GPT v5, revisions: N/a</w:t>
            </w:r>
          </w:p>
          <w:p w14:paraId="4B1AF335" w14:textId="500F1347" w:rsidR="00CA451E" w:rsidRPr="00CA451E" w:rsidRDefault="00CA451E" w:rsidP="00A30EAA">
            <w:pPr>
              <w:pStyle w:val="Body"/>
            </w:pPr>
            <w:r w:rsidRPr="00CA451E">
              <w:rPr>
                <w:lang w:val="en-US"/>
              </w:rPr>
              <w:t>Last update:</w:t>
            </w:r>
            <w:r w:rsidRPr="00CA451E">
              <w:rPr>
                <w:lang w:val="en-US"/>
              </w:rPr>
              <w:tab/>
              <w:t xml:space="preserve">31 </w:t>
            </w:r>
            <w:r w:rsidR="000F00B7">
              <w:rPr>
                <w:lang w:val="en-US"/>
              </w:rPr>
              <w:t>May</w:t>
            </w:r>
            <w:r w:rsidRPr="00CA451E">
              <w:rPr>
                <w:lang w:val="en-US"/>
              </w:rPr>
              <w:t xml:space="preserve"> 2026</w:t>
            </w:r>
          </w:p>
          <w:p w14:paraId="63F102CE" w14:textId="77777777" w:rsidR="00CA451E" w:rsidRPr="00DB7F49" w:rsidRDefault="00CA451E" w:rsidP="00A30EAA">
            <w:pPr>
              <w:pStyle w:val="Body"/>
              <w:rPr>
                <w:rStyle w:val="Strong"/>
              </w:rPr>
            </w:pPr>
            <w:r w:rsidRPr="00DB7F49">
              <w:rPr>
                <w:rStyle w:val="Strong"/>
              </w:rPr>
              <w:t>Verification and content responsibility: D Bowles, Solicitor, QLS.</w:t>
            </w:r>
          </w:p>
          <w:p w14:paraId="320BAAAE" w14:textId="6034F447" w:rsidR="00CA451E" w:rsidRDefault="00CA451E" w:rsidP="00A30EAA">
            <w:pPr>
              <w:pStyle w:val="Body"/>
            </w:pPr>
            <w:r w:rsidRPr="00CA451E">
              <w:rPr>
                <w:lang w:val="en-US"/>
              </w:rPr>
              <w:t xml:space="preserve">Disclaimer: The content of this material is not intended as legal advice. Specific advice pertinent to your circumstances is prudent prior to acting upon it. </w:t>
            </w:r>
            <w:r w:rsidR="00A03860">
              <w:rPr>
                <w:lang w:val="en-US"/>
              </w:rPr>
              <w:t>Third party sources and resources may change without notice and should be checked for currency.</w:t>
            </w:r>
          </w:p>
        </w:tc>
      </w:tr>
    </w:tbl>
    <w:p w14:paraId="50AD4881" w14:textId="7F8C6D00" w:rsidR="00970E12" w:rsidRDefault="00970E12" w:rsidP="00A30EAA">
      <w:pPr>
        <w:pStyle w:val="Body"/>
      </w:pPr>
      <w:r>
        <w:br w:type="page"/>
      </w:r>
    </w:p>
    <w:p w14:paraId="493E9A40" w14:textId="2C2146D0" w:rsidR="005776EE" w:rsidRPr="00970E12" w:rsidRDefault="00970E12" w:rsidP="00DB7F49">
      <w:pPr>
        <w:pStyle w:val="Heading4"/>
      </w:pPr>
      <w:r w:rsidRPr="00970E12">
        <w:lastRenderedPageBreak/>
        <w:t>APPENDICIES</w:t>
      </w:r>
    </w:p>
    <w:p w14:paraId="3D766058" w14:textId="77777777" w:rsidR="00D34DF8" w:rsidRDefault="00D34DF8" w:rsidP="00D34DF8">
      <w:pPr>
        <w:rPr>
          <w:color w:val="404040"/>
          <w:sz w:val="18"/>
          <w:szCs w:val="18"/>
          <w:lang w:eastAsia="en-US"/>
        </w:rPr>
      </w:pPr>
    </w:p>
    <w:p w14:paraId="14F41C77" w14:textId="77777777" w:rsidR="00D34DF8" w:rsidRPr="00D34DF8" w:rsidRDefault="00D34DF8" w:rsidP="00D34DF8">
      <w:pPr>
        <w:jc w:val="center"/>
        <w:rPr>
          <w:lang w:eastAsia="en-US"/>
        </w:rPr>
      </w:pPr>
    </w:p>
    <w:sectPr w:rsidR="00D34DF8" w:rsidRPr="00D34DF8" w:rsidSect="00BB00CF">
      <w:headerReference w:type="first" r:id="rId24"/>
      <w:footerReference w:type="first" r:id="rId25"/>
      <w:pgSz w:w="11906" w:h="16838"/>
      <w:pgMar w:top="1418" w:right="1440" w:bottom="1701" w:left="1440" w:header="425" w:footer="34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A7442" w14:textId="77777777" w:rsidR="001E1679" w:rsidRDefault="001E1679" w:rsidP="00973158">
      <w:r>
        <w:separator/>
      </w:r>
    </w:p>
  </w:endnote>
  <w:endnote w:type="continuationSeparator" w:id="0">
    <w:p w14:paraId="61C3ACF1" w14:textId="77777777" w:rsidR="001E1679" w:rsidRDefault="001E1679" w:rsidP="0097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851" w:type="dxa"/>
      <w:tblBorders>
        <w:top w:val="single" w:sz="4" w:space="0" w:color="72B1C8"/>
      </w:tblBorders>
      <w:tblCellMar>
        <w:top w:w="85" w:type="dxa"/>
        <w:left w:w="0" w:type="dxa"/>
      </w:tblCellMar>
      <w:tblLook w:val="04A0" w:firstRow="1" w:lastRow="0" w:firstColumn="1" w:lastColumn="0" w:noHBand="0" w:noVBand="1"/>
    </w:tblPr>
    <w:tblGrid>
      <w:gridCol w:w="7939"/>
      <w:gridCol w:w="2693"/>
    </w:tblGrid>
    <w:tr w:rsidR="00DB7F49" w:rsidRPr="00DB7F49" w14:paraId="75C6063E" w14:textId="77777777" w:rsidTr="00A17E0D">
      <w:tc>
        <w:tcPr>
          <w:tcW w:w="7939" w:type="dxa"/>
        </w:tcPr>
        <w:p w14:paraId="1D1015EB" w14:textId="77777777" w:rsidR="00DB7F49" w:rsidRPr="00DB7F49" w:rsidRDefault="00DB7F49" w:rsidP="00A30EAA">
          <w:pPr>
            <w:pStyle w:val="Body"/>
            <w:rPr>
              <w:b/>
            </w:rPr>
          </w:pPr>
          <w:r w:rsidRPr="00DB7F49">
            <w:rPr>
              <w:b/>
              <w:color w:val="0F2D52"/>
            </w:rPr>
            <w:t xml:space="preserve">Queensland Law Society </w:t>
          </w:r>
          <w:r w:rsidRPr="00DB7F49">
            <w:rPr>
              <w:b/>
              <w:color w:val="72B1C8"/>
            </w:rPr>
            <w:t>|</w:t>
          </w:r>
          <w:r w:rsidRPr="00DB7F49">
            <w:t xml:space="preserve"> Small firm privacy compendium</w:t>
          </w:r>
        </w:p>
      </w:tc>
      <w:tc>
        <w:tcPr>
          <w:tcW w:w="2693" w:type="dxa"/>
        </w:tcPr>
        <w:p w14:paraId="0D2594B1" w14:textId="77777777" w:rsidR="00DB7F49" w:rsidRPr="00DB7F49" w:rsidRDefault="00DB7F49" w:rsidP="00A30EAA">
          <w:pPr>
            <w:pStyle w:val="Body"/>
          </w:pPr>
          <w:r w:rsidRPr="00DB7F49">
            <w:tab/>
          </w:r>
          <w:r w:rsidRPr="00DB7F49">
            <w:rPr>
              <w:noProof/>
            </w:rPr>
            <w:t xml:space="preserve">Page </w:t>
          </w:r>
          <w:r w:rsidRPr="00DB7F49">
            <w:rPr>
              <w:noProof/>
            </w:rPr>
            <w:fldChar w:fldCharType="begin"/>
          </w:r>
          <w:r w:rsidRPr="00DB7F49">
            <w:rPr>
              <w:noProof/>
            </w:rPr>
            <w:instrText xml:space="preserve"> PAGE  \* Arabic  \* MERGEFORMAT </w:instrText>
          </w:r>
          <w:r w:rsidRPr="00DB7F49">
            <w:rPr>
              <w:noProof/>
            </w:rPr>
            <w:fldChar w:fldCharType="separate"/>
          </w:r>
          <w:r w:rsidRPr="00DB7F49">
            <w:rPr>
              <w:noProof/>
            </w:rPr>
            <w:t>2</w:t>
          </w:r>
          <w:r w:rsidRPr="00DB7F49">
            <w:rPr>
              <w:noProof/>
            </w:rPr>
            <w:fldChar w:fldCharType="end"/>
          </w:r>
          <w:r w:rsidRPr="00DB7F49">
            <w:rPr>
              <w:noProof/>
            </w:rPr>
            <w:t xml:space="preserve"> of </w:t>
          </w:r>
          <w:r w:rsidRPr="00DB7F49">
            <w:rPr>
              <w:noProof/>
            </w:rPr>
            <w:fldChar w:fldCharType="begin"/>
          </w:r>
          <w:r w:rsidRPr="00DB7F49">
            <w:rPr>
              <w:noProof/>
            </w:rPr>
            <w:instrText xml:space="preserve"> NUMPAGES  \* Arabic  \* MERGEFORMAT </w:instrText>
          </w:r>
          <w:r w:rsidRPr="00DB7F49">
            <w:rPr>
              <w:noProof/>
            </w:rPr>
            <w:fldChar w:fldCharType="separate"/>
          </w:r>
          <w:r w:rsidRPr="00DB7F49">
            <w:rPr>
              <w:noProof/>
            </w:rPr>
            <w:t>2</w:t>
          </w:r>
          <w:r w:rsidRPr="00DB7F49">
            <w:rPr>
              <w:noProof/>
            </w:rPr>
            <w:fldChar w:fldCharType="end"/>
          </w:r>
        </w:p>
      </w:tc>
    </w:tr>
  </w:tbl>
  <w:p w14:paraId="3659DB81" w14:textId="7BC40723" w:rsidR="00D91A8B" w:rsidRPr="00DB7F49" w:rsidRDefault="00D91A8B" w:rsidP="00A30EAA">
    <w:pPr>
      <w:pStyle w:val="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CellMar>
        <w:left w:w="0" w:type="dxa"/>
        <w:right w:w="0" w:type="dxa"/>
      </w:tblCellMar>
      <w:tblLook w:val="04A0" w:firstRow="1" w:lastRow="0" w:firstColumn="1" w:lastColumn="0" w:noHBand="0" w:noVBand="1"/>
    </w:tblPr>
    <w:tblGrid>
      <w:gridCol w:w="4813"/>
      <w:gridCol w:w="5393"/>
    </w:tblGrid>
    <w:tr w:rsidR="00D91A8B" w14:paraId="66D367E2" w14:textId="77777777" w:rsidTr="006D4D88">
      <w:trPr>
        <w:trHeight w:hRule="exact" w:val="113"/>
      </w:trPr>
      <w:tc>
        <w:tcPr>
          <w:tcW w:w="4813" w:type="dxa"/>
          <w:tcBorders>
            <w:top w:val="single" w:sz="4" w:space="0" w:color="BFBFBF"/>
          </w:tcBorders>
        </w:tcPr>
        <w:p w14:paraId="5E0D6863" w14:textId="77777777" w:rsidR="00D91A8B" w:rsidRDefault="00D91A8B" w:rsidP="00973158">
          <w:pPr>
            <w:pStyle w:val="Footer"/>
          </w:pPr>
        </w:p>
      </w:tc>
      <w:tc>
        <w:tcPr>
          <w:tcW w:w="5393" w:type="dxa"/>
          <w:tcBorders>
            <w:top w:val="single" w:sz="4" w:space="0" w:color="BFBFBF"/>
          </w:tcBorders>
        </w:tcPr>
        <w:p w14:paraId="436A79E7" w14:textId="77777777" w:rsidR="00D91A8B" w:rsidRDefault="00D91A8B" w:rsidP="00973158">
          <w:pPr>
            <w:pStyle w:val="Footer"/>
          </w:pPr>
        </w:p>
      </w:tc>
    </w:tr>
    <w:tr w:rsidR="00D91A8B" w14:paraId="6ACB8E35" w14:textId="77777777" w:rsidTr="006D4D88">
      <w:tc>
        <w:tcPr>
          <w:tcW w:w="4813" w:type="dxa"/>
        </w:tcPr>
        <w:p w14:paraId="5745488E" w14:textId="77777777" w:rsidR="00D91A8B" w:rsidRPr="00F15567" w:rsidRDefault="00D91A8B" w:rsidP="00973158">
          <w:pPr>
            <w:pStyle w:val="Footer"/>
          </w:pPr>
          <w:r w:rsidRPr="00F15567">
            <w:t>Queensland Law Society | Council meeting | AGENDA</w:t>
          </w:r>
        </w:p>
      </w:tc>
      <w:tc>
        <w:tcPr>
          <w:tcW w:w="5393" w:type="dxa"/>
        </w:tcPr>
        <w:p w14:paraId="17FD484E" w14:textId="635B81A5" w:rsidR="00D91A8B" w:rsidRDefault="00D91A8B" w:rsidP="00973158">
          <w:pPr>
            <w:pStyle w:val="Footer"/>
          </w:pPr>
          <w:r w:rsidRPr="0017504F">
            <w:t xml:space="preserve">Page </w:t>
          </w:r>
          <w:r w:rsidRPr="0017504F">
            <w:fldChar w:fldCharType="begin"/>
          </w:r>
          <w:r w:rsidRPr="0017504F">
            <w:instrText xml:space="preserve"> PAGE   \* MERGEFORMAT </w:instrText>
          </w:r>
          <w:r w:rsidRPr="0017504F">
            <w:fldChar w:fldCharType="separate"/>
          </w:r>
          <w:r w:rsidR="00B23233">
            <w:rPr>
              <w:noProof/>
            </w:rPr>
            <w:t>1</w:t>
          </w:r>
          <w:r w:rsidRPr="0017504F">
            <w:rPr>
              <w:noProof/>
            </w:rPr>
            <w:fldChar w:fldCharType="end"/>
          </w:r>
          <w:r w:rsidRPr="0017504F">
            <w:rPr>
              <w:noProof/>
            </w:rPr>
            <w:t xml:space="preserve"> </w:t>
          </w:r>
          <w:r w:rsidRPr="00F15567">
            <w:rPr>
              <w:noProof/>
            </w:rPr>
            <w:t xml:space="preserve">of </w:t>
          </w:r>
          <w:r w:rsidRPr="00F15567">
            <w:rPr>
              <w:noProof/>
            </w:rPr>
            <w:fldChar w:fldCharType="begin"/>
          </w:r>
          <w:r w:rsidRPr="00F15567">
            <w:rPr>
              <w:noProof/>
            </w:rPr>
            <w:instrText xml:space="preserve"> PAGEREF  Section_2  \* MERGEFORMAT </w:instrText>
          </w:r>
          <w:r w:rsidRPr="00F15567">
            <w:rPr>
              <w:noProof/>
            </w:rPr>
            <w:fldChar w:fldCharType="separate"/>
          </w:r>
          <w:r w:rsidR="004008EB">
            <w:rPr>
              <w:noProof/>
            </w:rPr>
            <w:t>2</w:t>
          </w:r>
          <w:r w:rsidRPr="00F15567">
            <w:rPr>
              <w:noProof/>
            </w:rPr>
            <w:fldChar w:fldCharType="end"/>
          </w:r>
        </w:p>
      </w:tc>
    </w:tr>
  </w:tbl>
  <w:p w14:paraId="1E1B7819" w14:textId="77777777" w:rsidR="00D91A8B" w:rsidRPr="00892DC1" w:rsidRDefault="00D91A8B" w:rsidP="00973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37FB" w14:textId="77777777" w:rsidR="001E1679" w:rsidRDefault="001E1679" w:rsidP="00973158">
      <w:r>
        <w:separator/>
      </w:r>
    </w:p>
  </w:footnote>
  <w:footnote w:type="continuationSeparator" w:id="0">
    <w:p w14:paraId="161CD731" w14:textId="77777777" w:rsidR="001E1679" w:rsidRDefault="001E1679" w:rsidP="00973158">
      <w:r>
        <w:continuationSeparator/>
      </w:r>
    </w:p>
  </w:footnote>
  <w:footnote w:id="1">
    <w:p w14:paraId="331168A0" w14:textId="54DF05C9" w:rsidR="005776EE" w:rsidRDefault="005776EE" w:rsidP="000E4E03">
      <w:pPr>
        <w:pStyle w:val="Footnote"/>
      </w:pPr>
      <w:r>
        <w:rPr>
          <w:rStyle w:val="FootnoteReference"/>
        </w:rPr>
        <w:footnoteRef/>
      </w:r>
      <w:r>
        <w:t>Office of the Australian Information Commissioner</w:t>
      </w:r>
      <w:r w:rsidR="00747699">
        <w:t xml:space="preserve"> </w:t>
      </w:r>
      <w:hyperlink r:id="rId1" w:history="1">
        <w:r w:rsidR="006D3B46" w:rsidRPr="006D3B46">
          <w:rPr>
            <w:rStyle w:val="Hyperlink"/>
          </w:rPr>
          <w:t>Privacy guidance for AML reporting entities</w:t>
        </w:r>
      </w:hyperlink>
    </w:p>
  </w:footnote>
  <w:footnote w:id="2">
    <w:p w14:paraId="3DE7A0E9" w14:textId="77777777" w:rsidR="005776EE" w:rsidRDefault="005776EE" w:rsidP="000E4E03">
      <w:pPr>
        <w:pStyle w:val="Footnote"/>
      </w:pPr>
      <w:r>
        <w:rPr>
          <w:rStyle w:val="FootnoteReference"/>
        </w:rPr>
        <w:footnoteRef/>
      </w:r>
      <w:r w:rsidRPr="008D1008">
        <w:t>Anti-Money Laundering and Counter-Terrorism Financing Amendment Act 2024 (Cth)</w:t>
      </w:r>
      <w:r>
        <w:t>, which received Royal Assent on 10 December 2024.</w:t>
      </w:r>
    </w:p>
  </w:footnote>
  <w:footnote w:id="3">
    <w:p w14:paraId="7A14DBDD" w14:textId="2E847C9E" w:rsidR="005776EE" w:rsidRDefault="005776EE" w:rsidP="000E4E03">
      <w:pPr>
        <w:pStyle w:val="Footnote"/>
      </w:pPr>
      <w:r>
        <w:rPr>
          <w:rStyle w:val="FootnoteReference"/>
        </w:rPr>
        <w:footnoteRef/>
      </w:r>
      <w:r>
        <w:t xml:space="preserve">Privacy Act 1988 (Cth), s 6C(1), </w:t>
      </w:r>
      <w:r w:rsidR="00964CF1">
        <w:t>definition “Organisation” usually excludes an entity with turnover less than $3Million. Exceptions apply, one of which is if the entity is a</w:t>
      </w:r>
      <w:r>
        <w:t xml:space="preserve"> 'reporting entity' for AML/CTF purposes</w:t>
      </w:r>
      <w:r w:rsidR="00964CF1">
        <w:t>.</w:t>
      </w:r>
      <w:r>
        <w:t xml:space="preserve"> </w:t>
      </w:r>
    </w:p>
  </w:footnote>
  <w:footnote w:id="4">
    <w:p w14:paraId="5F40A789" w14:textId="11E8CEC1" w:rsidR="009F40F0" w:rsidRDefault="009F40F0" w:rsidP="00E3267A">
      <w:pPr>
        <w:pStyle w:val="Footnote"/>
      </w:pPr>
      <w:r>
        <w:rPr>
          <w:rStyle w:val="FootnoteReference"/>
        </w:rPr>
        <w:footnoteRef/>
      </w:r>
      <w:r w:rsidRPr="009F40F0">
        <w:t xml:space="preserve">Links to OAIC guidance may be found in Paragraph </w:t>
      </w:r>
      <w:r w:rsidRPr="009F40F0">
        <w:fldChar w:fldCharType="begin"/>
      </w:r>
      <w:r w:rsidRPr="009F40F0">
        <w:instrText xml:space="preserve"> REF _Ref220073152 \h  \* MERGEFORMAT </w:instrText>
      </w:r>
      <w:r w:rsidRPr="009F40F0">
        <w:fldChar w:fldCharType="separate"/>
      </w:r>
      <w:r w:rsidR="004008EB">
        <w:t>1.5 OAIC Guidance Informing This Manual</w:t>
      </w:r>
      <w:r w:rsidRPr="009F40F0">
        <w:fldChar w:fldCharType="end"/>
      </w:r>
      <w:r w:rsidRPr="009F40F0">
        <w:t>)</w:t>
      </w:r>
      <w:r>
        <w:t xml:space="preserve"> and</w:t>
      </w:r>
      <w:r w:rsidRPr="009F40F0">
        <w:t xml:space="preserve"> Chapter </w:t>
      </w:r>
      <w:r w:rsidRPr="009F40F0">
        <w:fldChar w:fldCharType="begin"/>
      </w:r>
      <w:r w:rsidRPr="009F40F0">
        <w:instrText xml:space="preserve"> REF _Ref220070897 \h  \* MERGEFORMAT </w:instrText>
      </w:r>
      <w:r w:rsidRPr="009F40F0">
        <w:fldChar w:fldCharType="separate"/>
      </w:r>
      <w:r w:rsidR="004008EB">
        <w:t>19.1 OAIC Guidance and Resources</w:t>
      </w:r>
      <w:r w:rsidRPr="009F40F0">
        <w:fldChar w:fldCharType="end"/>
      </w:r>
      <w:r w:rsidRPr="009F40F0">
        <w:t>).</w:t>
      </w:r>
    </w:p>
  </w:footnote>
  <w:footnote w:id="5">
    <w:p w14:paraId="0D43A998" w14:textId="6D8E67BA" w:rsidR="005776EE" w:rsidRDefault="005776EE" w:rsidP="00142722">
      <w:pPr>
        <w:pStyle w:val="Footnote"/>
      </w:pPr>
      <w:r>
        <w:rPr>
          <w:rStyle w:val="FootnoteReference"/>
        </w:rPr>
        <w:footnoteRef/>
      </w:r>
      <w:r>
        <w:t xml:space="preserve">OAIC, </w:t>
      </w:r>
      <w:r>
        <w:rPr>
          <w:i/>
          <w:iCs/>
        </w:rPr>
        <w:t>Privacy management framework: enabling compliance and encouraging good practice</w:t>
      </w:r>
      <w:r>
        <w:t xml:space="preserve"> (May 2025), available at &lt;</w:t>
      </w:r>
      <w:hyperlink r:id="rId2" w:history="1">
        <w:r w:rsidRPr="00F94D36">
          <w:rPr>
            <w:rStyle w:val="Hyperlink"/>
          </w:rPr>
          <w:t>https://www.oaic.gov.au/privacy/privacy-guidance-for-organisations-and-government-agencies/more-guidance/privacy-management-framework-enabling-compliance-and-encouraging-good-practice</w:t>
        </w:r>
      </w:hyperlink>
      <w:r>
        <w:t>&gt;.</w:t>
      </w:r>
    </w:p>
  </w:footnote>
  <w:footnote w:id="6">
    <w:p w14:paraId="77CDECE1" w14:textId="290A04D4" w:rsidR="005776EE" w:rsidRDefault="005776EE" w:rsidP="00142722">
      <w:pPr>
        <w:pStyle w:val="Footnote"/>
      </w:pPr>
      <w:r>
        <w:rPr>
          <w:rStyle w:val="FootnoteReference"/>
        </w:rPr>
        <w:footnoteRef/>
      </w:r>
      <w:hyperlink r:id="rId3" w:history="1">
        <w:r w:rsidRPr="004230C4">
          <w:rPr>
            <w:rStyle w:val="Hyperlink"/>
          </w:rPr>
          <w:t>Australian Privacy Principle 1.2</w:t>
        </w:r>
      </w:hyperlink>
      <w:r>
        <w:t xml:space="preserve">, </w:t>
      </w:r>
    </w:p>
  </w:footnote>
  <w:footnote w:id="7">
    <w:p w14:paraId="41B46D10" w14:textId="77777777" w:rsidR="005776EE" w:rsidRDefault="005776EE" w:rsidP="001F3BAF">
      <w:pPr>
        <w:pStyle w:val="Footnote"/>
      </w:pPr>
      <w:r>
        <w:rPr>
          <w:rStyle w:val="FootnoteReference"/>
        </w:rPr>
        <w:footnoteRef/>
      </w:r>
      <w:r>
        <w:t>Privacy Act 1988 (</w:t>
      </w:r>
      <w:proofErr w:type="spellStart"/>
      <w:r>
        <w:t>Cth</w:t>
      </w:r>
      <w:proofErr w:type="spellEnd"/>
      <w:r>
        <w:t>), s 6D defines 'small business' as a business with annual turnover of $3 million or less.</w:t>
      </w:r>
    </w:p>
  </w:footnote>
  <w:footnote w:id="8">
    <w:p w14:paraId="41C8E132" w14:textId="1B3B8A0A" w:rsidR="005776EE" w:rsidRDefault="005776EE" w:rsidP="001F3BAF">
      <w:pPr>
        <w:pStyle w:val="Footnote"/>
      </w:pPr>
      <w:r>
        <w:rPr>
          <w:rStyle w:val="FootnoteReference"/>
        </w:rPr>
        <w:footnoteRef/>
      </w:r>
      <w:r>
        <w:t xml:space="preserve">AUSTRAC, </w:t>
      </w:r>
      <w:r>
        <w:rPr>
          <w:i/>
          <w:iCs/>
        </w:rPr>
        <w:t>Professional services</w:t>
      </w:r>
      <w:r>
        <w:t>, Table 6</w:t>
      </w:r>
      <w:r w:rsidR="00B76133">
        <w:t xml:space="preserve"> summary</w:t>
      </w:r>
      <w:r>
        <w:t xml:space="preserve"> available at &lt;</w:t>
      </w:r>
      <w:hyperlink r:id="rId4" w:history="1">
        <w:r w:rsidR="00B76133" w:rsidRPr="00B76133">
          <w:rPr>
            <w:rStyle w:val="Hyperlink"/>
          </w:rPr>
          <w:t>https://www.austrac.gov.au/new-austrac/designated-services-newly-regulated-entities/professional-designated-services</w:t>
        </w:r>
      </w:hyperlink>
      <w:r>
        <w:t>&gt;.</w:t>
      </w:r>
    </w:p>
  </w:footnote>
  <w:footnote w:id="9">
    <w:p w14:paraId="476E1A88" w14:textId="1163A0B8" w:rsidR="005776EE" w:rsidRDefault="00655B71" w:rsidP="001F3BAF">
      <w:pPr>
        <w:pStyle w:val="Footnote"/>
      </w:pPr>
      <w:r w:rsidRPr="00655B71">
        <w:rPr>
          <w:rStyle w:val="FootnoteReference"/>
          <w:szCs w:val="16"/>
        </w:rPr>
        <w:footnoteRef/>
      </w:r>
      <w:r w:rsidR="004776F3" w:rsidRPr="00E3568B">
        <w:rPr>
          <w:i/>
          <w:iCs/>
        </w:rPr>
        <w:t>Privacy Act</w:t>
      </w:r>
      <w:r w:rsidR="004776F3">
        <w:t xml:space="preserve"> s.</w:t>
      </w:r>
      <w:r w:rsidR="00E3568B">
        <w:t>6E(1A)</w:t>
      </w:r>
    </w:p>
  </w:footnote>
  <w:footnote w:id="10">
    <w:p w14:paraId="65FCA5FA" w14:textId="2E52CAF1" w:rsidR="005776EE" w:rsidRDefault="005776EE" w:rsidP="001F3BAF">
      <w:pPr>
        <w:pStyle w:val="Footnote"/>
      </w:pPr>
      <w:r>
        <w:rPr>
          <w:rStyle w:val="FootnoteReference"/>
        </w:rPr>
        <w:footnoteRef/>
      </w:r>
      <w:r>
        <w:t xml:space="preserve">AUSTRAC, </w:t>
      </w:r>
      <w:hyperlink r:id="rId5" w:history="1">
        <w:r w:rsidRPr="00EF5980">
          <w:rPr>
            <w:rStyle w:val="Hyperlink"/>
            <w:i/>
            <w:iCs/>
          </w:rPr>
          <w:t>Record keeping overview</w:t>
        </w:r>
      </w:hyperlink>
      <w:r>
        <w:t>, which confirms the 7-year retention period for AML/CTF records.</w:t>
      </w:r>
    </w:p>
  </w:footnote>
  <w:footnote w:id="11">
    <w:p w14:paraId="753E4E49" w14:textId="2B5083AD" w:rsidR="004B6153" w:rsidRDefault="004B6153" w:rsidP="001F3BAF">
      <w:pPr>
        <w:pStyle w:val="Footnote"/>
      </w:pPr>
      <w:r>
        <w:rPr>
          <w:rStyle w:val="FootnoteReference"/>
        </w:rPr>
        <w:footnoteRef/>
      </w:r>
      <w:r>
        <w:t xml:space="preserve">OAIC: </w:t>
      </w:r>
      <w:r w:rsidRPr="00D0788D">
        <w:rPr>
          <w:i/>
          <w:iCs/>
        </w:rPr>
        <w:t>opting into the Privacy Act</w:t>
      </w:r>
      <w:r>
        <w:t xml:space="preserve">, available at </w:t>
      </w:r>
      <w:r w:rsidR="00715430">
        <w:t>&lt;</w:t>
      </w:r>
      <w:hyperlink r:id="rId6" w:history="1">
        <w:r w:rsidR="00715430">
          <w:rPr>
            <w:rStyle w:val="Hyperlink"/>
          </w:rPr>
          <w:t>https://www.oaic.gov.au/privacy/privacy-guidance-for-organisations-and-government-agencies/organisations/opting-in-to-the-privacy-act</w:t>
        </w:r>
      </w:hyperlink>
      <w:r w:rsidR="00715430">
        <w:t>&gt;</w:t>
      </w:r>
    </w:p>
  </w:footnote>
  <w:footnote w:id="12">
    <w:p w14:paraId="4F05BFAD" w14:textId="48E0875D" w:rsidR="001231E0" w:rsidRDefault="001231E0" w:rsidP="001F3BAF">
      <w:pPr>
        <w:pStyle w:val="Footnote"/>
      </w:pPr>
      <w:r>
        <w:rPr>
          <w:rStyle w:val="FootnoteReference"/>
        </w:rPr>
        <w:footnoteRef/>
      </w:r>
      <w:r>
        <w:t xml:space="preserve">AUSTRAC, </w:t>
      </w:r>
      <w:r w:rsidR="006C6BDD">
        <w:rPr>
          <w:i/>
          <w:iCs/>
        </w:rPr>
        <w:t>about the reforms</w:t>
      </w:r>
      <w:r>
        <w:t>, available at &lt;</w:t>
      </w:r>
      <w:r w:rsidR="006C6BDD" w:rsidRPr="006C6BDD">
        <w:t xml:space="preserve"> </w:t>
      </w:r>
      <w:hyperlink r:id="rId7" w:history="1">
        <w:r w:rsidR="006C6BDD" w:rsidRPr="006C6BDD">
          <w:rPr>
            <w:rStyle w:val="Hyperlink"/>
          </w:rPr>
          <w:t>https://www.austrac.gov.au/industry-and-business/about-amlctf-reforms/about-reforms</w:t>
        </w:r>
      </w:hyperlink>
      <w:r w:rsidR="006C6BDD" w:rsidRPr="006C6BDD">
        <w:t xml:space="preserve"> </w:t>
      </w:r>
      <w:r>
        <w:t>&gt;.</w:t>
      </w:r>
    </w:p>
  </w:footnote>
  <w:footnote w:id="13">
    <w:p w14:paraId="3A78722A" w14:textId="689D4AFD" w:rsidR="005776EE" w:rsidRPr="001F3BAF" w:rsidRDefault="001F3BAF" w:rsidP="001F3BAF">
      <w:pPr>
        <w:pStyle w:val="Footnote"/>
        <w:rPr>
          <w:szCs w:val="16"/>
        </w:rPr>
      </w:pPr>
      <w:r w:rsidRPr="001F3BAF">
        <w:rPr>
          <w:rStyle w:val="FootnoteReference"/>
          <w:szCs w:val="16"/>
        </w:rPr>
        <w:footnoteRef/>
      </w:r>
    </w:p>
  </w:footnote>
  <w:footnote w:id="14">
    <w:p w14:paraId="29E7D522" w14:textId="4AD85B37" w:rsidR="00AA7F5F" w:rsidRDefault="00AA7F5F" w:rsidP="001F3BAF">
      <w:pPr>
        <w:pStyle w:val="Footnote"/>
      </w:pPr>
      <w:r>
        <w:rPr>
          <w:rStyle w:val="FootnoteReference"/>
        </w:rPr>
        <w:footnoteRef/>
      </w:r>
      <w:r>
        <w:t>But not certain – an area of frustration in interpreting the new obligations.</w:t>
      </w:r>
    </w:p>
  </w:footnote>
  <w:footnote w:id="15">
    <w:p w14:paraId="39C07D57" w14:textId="5FA9115E" w:rsidR="005776EE" w:rsidRPr="001F3BAF" w:rsidRDefault="005776EE" w:rsidP="001F3BAF">
      <w:pPr>
        <w:pStyle w:val="Footnote"/>
        <w:rPr>
          <w:szCs w:val="16"/>
        </w:rPr>
      </w:pPr>
      <w:r w:rsidRPr="001F3BAF">
        <w:rPr>
          <w:rStyle w:val="FootnoteReference"/>
          <w:szCs w:val="16"/>
        </w:rPr>
        <w:footnoteRef/>
      </w:r>
      <w:r w:rsidRPr="001F3BAF">
        <w:rPr>
          <w:szCs w:val="16"/>
        </w:rPr>
        <w:t>Privacy Act 1988 (</w:t>
      </w:r>
      <w:proofErr w:type="spellStart"/>
      <w:r w:rsidRPr="001F3BAF">
        <w:rPr>
          <w:szCs w:val="16"/>
        </w:rPr>
        <w:t>Cth</w:t>
      </w:r>
      <w:proofErr w:type="spellEnd"/>
      <w:r w:rsidRPr="001F3BAF">
        <w:rPr>
          <w:szCs w:val="16"/>
        </w:rPr>
        <w:t>), s 13G. Civil penalty provisions carry maximum penalties of the greater of $50 million, three times the value of the benefit obtained, or 30% of adjusted turnover: s 13G(4).</w:t>
      </w:r>
    </w:p>
  </w:footnote>
  <w:footnote w:id="16">
    <w:p w14:paraId="28954268" w14:textId="77777777" w:rsidR="005776EE" w:rsidRPr="001F3BAF" w:rsidRDefault="005776EE" w:rsidP="001F3BAF">
      <w:pPr>
        <w:pStyle w:val="Footnote"/>
        <w:rPr>
          <w:szCs w:val="16"/>
        </w:rPr>
      </w:pPr>
      <w:r w:rsidRPr="001F3BAF">
        <w:rPr>
          <w:rStyle w:val="FootnoteReference"/>
          <w:szCs w:val="16"/>
        </w:rPr>
        <w:footnoteRef/>
      </w:r>
      <w:r w:rsidRPr="001F3BAF">
        <w:rPr>
          <w:szCs w:val="16"/>
        </w:rPr>
        <w:t>Privacy Act 1988 (Cth), Part IIIC (Notifiable Data Breaches scheme), inserted by Privacy Amendment (Notifiable Data Breaches) Act 2017 (Cth).</w:t>
      </w:r>
    </w:p>
  </w:footnote>
  <w:footnote w:id="17">
    <w:p w14:paraId="5308E5DC" w14:textId="740C2B5F" w:rsidR="005776EE" w:rsidRDefault="004921C6" w:rsidP="001F3BAF">
      <w:pPr>
        <w:pStyle w:val="Footnote"/>
      </w:pPr>
      <w:r w:rsidRPr="001F3BAF">
        <w:rPr>
          <w:rStyle w:val="FootnoteReference"/>
          <w:szCs w:val="16"/>
        </w:rPr>
        <w:t>17</w:t>
      </w:r>
      <w:r w:rsidRPr="001F3BAF">
        <w:rPr>
          <w:szCs w:val="16"/>
        </w:rPr>
        <w:t xml:space="preserve">OAIC: Privacy Management Framework, accessed: &lt; </w:t>
      </w:r>
      <w:hyperlink r:id="rId8" w:history="1">
        <w:r w:rsidRPr="001F3BAF">
          <w:rPr>
            <w:rStyle w:val="Hyperlink"/>
            <w:szCs w:val="16"/>
          </w:rPr>
          <w:t>https://www.oaic.gov.au/privacy/privacy-guidance-for-organisations-and-government-agencies/more-guidance/privacy-management-framework-enabling-compliance-and-encouraging-good-practice</w:t>
        </w:r>
      </w:hyperlink>
      <w:r w:rsidRPr="001F3BAF">
        <w:rPr>
          <w:szCs w:val="16"/>
        </w:rPr>
        <w:t xml:space="preserve"> &gt;</w:t>
      </w:r>
    </w:p>
  </w:footnote>
  <w:footnote w:id="18">
    <w:p w14:paraId="0F8AC661" w14:textId="77777777" w:rsidR="005776EE" w:rsidRPr="001F3BAF" w:rsidRDefault="005776EE" w:rsidP="001F3BAF">
      <w:pPr>
        <w:pStyle w:val="Footnote"/>
        <w:rPr>
          <w:szCs w:val="16"/>
        </w:rPr>
      </w:pPr>
      <w:r w:rsidRPr="001F3BAF">
        <w:rPr>
          <w:rStyle w:val="FootnoteReference"/>
          <w:szCs w:val="16"/>
        </w:rPr>
        <w:footnoteRef/>
      </w:r>
      <w:r w:rsidRPr="001F3BAF">
        <w:rPr>
          <w:szCs w:val="16"/>
        </w:rPr>
        <w:t>Privacy Act 1988 (</w:t>
      </w:r>
      <w:proofErr w:type="spellStart"/>
      <w:r w:rsidRPr="001F3BAF">
        <w:rPr>
          <w:szCs w:val="16"/>
        </w:rPr>
        <w:t>Cth</w:t>
      </w:r>
      <w:proofErr w:type="spellEnd"/>
      <w:r w:rsidRPr="001F3BAF">
        <w:rPr>
          <w:szCs w:val="16"/>
        </w:rPr>
        <w:t>), s 6(1) defines 'APP entity' to mean an agency or organisation. Section 6C sets out when an organisation is covered by the Act.</w:t>
      </w:r>
    </w:p>
  </w:footnote>
  <w:footnote w:id="19">
    <w:p w14:paraId="59E93521" w14:textId="77777777" w:rsidR="005776EE" w:rsidRPr="001F3BAF" w:rsidRDefault="005776EE" w:rsidP="001F3BAF">
      <w:pPr>
        <w:pStyle w:val="Footnote"/>
        <w:rPr>
          <w:szCs w:val="16"/>
        </w:rPr>
      </w:pPr>
      <w:r w:rsidRPr="001F3BAF">
        <w:rPr>
          <w:rStyle w:val="FootnoteReference"/>
          <w:szCs w:val="16"/>
        </w:rPr>
        <w:footnoteRef/>
      </w:r>
      <w:r w:rsidRPr="001F3BAF">
        <w:rPr>
          <w:szCs w:val="16"/>
        </w:rPr>
        <w:t>Privacy Act 1988 (Cth), s 6D. Annual turnover includes all income from all sources; it does not include assets held, capital gains or proceeds of capital sales.</w:t>
      </w:r>
    </w:p>
  </w:footnote>
  <w:footnote w:id="20">
    <w:p w14:paraId="62A80E2D" w14:textId="5B662A8C" w:rsidR="005776EE" w:rsidRPr="001F3BAF" w:rsidRDefault="005776EE" w:rsidP="001F3BAF">
      <w:pPr>
        <w:pStyle w:val="Footnote"/>
        <w:rPr>
          <w:szCs w:val="16"/>
        </w:rPr>
      </w:pPr>
      <w:r w:rsidRPr="001F3BAF">
        <w:rPr>
          <w:rStyle w:val="FootnoteReference"/>
          <w:szCs w:val="16"/>
        </w:rPr>
        <w:footnoteRef/>
      </w:r>
      <w:r w:rsidRPr="001F3BAF">
        <w:rPr>
          <w:szCs w:val="16"/>
        </w:rPr>
        <w:t>Privacy Act 1988 (</w:t>
      </w:r>
      <w:proofErr w:type="spellStart"/>
      <w:r w:rsidRPr="001F3BAF">
        <w:rPr>
          <w:szCs w:val="16"/>
        </w:rPr>
        <w:t>Cth</w:t>
      </w:r>
      <w:proofErr w:type="spellEnd"/>
      <w:r w:rsidRPr="001F3BAF">
        <w:rPr>
          <w:szCs w:val="16"/>
        </w:rPr>
        <w:t xml:space="preserve">), s 6C(1), item 2 of the table. See also OAIC, </w:t>
      </w:r>
      <w:r w:rsidRPr="001F3BAF">
        <w:rPr>
          <w:i/>
          <w:iCs/>
          <w:szCs w:val="16"/>
        </w:rPr>
        <w:t>Small business</w:t>
      </w:r>
      <w:r w:rsidRPr="001F3BAF">
        <w:rPr>
          <w:szCs w:val="16"/>
        </w:rPr>
        <w:t xml:space="preserve"> guidance.</w:t>
      </w:r>
      <w:r w:rsidR="00541F38" w:rsidRPr="001F3BAF">
        <w:rPr>
          <w:szCs w:val="16"/>
        </w:rPr>
        <w:t xml:space="preserve"> Other extension categories apply, such as recipients of health information and contractors under </w:t>
      </w:r>
      <w:r w:rsidR="006A3FAB" w:rsidRPr="001F3BAF">
        <w:rPr>
          <w:szCs w:val="16"/>
        </w:rPr>
        <w:t>some Commonwealth tenders.</w:t>
      </w:r>
    </w:p>
  </w:footnote>
  <w:footnote w:id="21">
    <w:p w14:paraId="6434B05C" w14:textId="77777777" w:rsidR="005776EE" w:rsidRPr="001F3BAF" w:rsidRDefault="005776EE" w:rsidP="001F3BAF">
      <w:pPr>
        <w:pStyle w:val="Footnote"/>
        <w:rPr>
          <w:szCs w:val="16"/>
        </w:rPr>
      </w:pPr>
      <w:r w:rsidRPr="001F3BAF">
        <w:rPr>
          <w:rStyle w:val="FootnoteReference"/>
          <w:szCs w:val="16"/>
        </w:rPr>
        <w:footnoteRef/>
      </w:r>
      <w:r w:rsidRPr="001F3BAF">
        <w:rPr>
          <w:szCs w:val="16"/>
        </w:rPr>
        <w:t>Privacy Act 1988 (</w:t>
      </w:r>
      <w:proofErr w:type="spellStart"/>
      <w:r w:rsidRPr="001F3BAF">
        <w:rPr>
          <w:szCs w:val="16"/>
        </w:rPr>
        <w:t>Cth</w:t>
      </w:r>
      <w:proofErr w:type="spellEnd"/>
      <w:r w:rsidRPr="001F3BAF">
        <w:rPr>
          <w:szCs w:val="16"/>
        </w:rPr>
        <w:t>), s 6(1). The definition was amended by the Privacy Legislation Amendment (Enforcement and Other Measures) Act 2022 (Cth) to clarify that information can be 'about' an individual even if it does not directly name them.</w:t>
      </w:r>
    </w:p>
  </w:footnote>
  <w:footnote w:id="22">
    <w:p w14:paraId="10E63D30" w14:textId="69301EE0" w:rsidR="00C0085B" w:rsidRPr="001F3BAF" w:rsidRDefault="00C0085B" w:rsidP="001F3BAF">
      <w:pPr>
        <w:pStyle w:val="Footnote"/>
        <w:rPr>
          <w:szCs w:val="16"/>
        </w:rPr>
      </w:pPr>
      <w:r w:rsidRPr="001F3BAF">
        <w:rPr>
          <w:rStyle w:val="FootnoteReference"/>
          <w:szCs w:val="16"/>
        </w:rPr>
        <w:footnoteRef/>
      </w:r>
      <w:r w:rsidR="00C2784F" w:rsidRPr="001F3BAF">
        <w:rPr>
          <w:szCs w:val="16"/>
        </w:rPr>
        <w:t>See extended definitions in Chapters 7 and 20 for more information.</w:t>
      </w:r>
      <w:r w:rsidR="00C2784F" w:rsidRPr="001F3BAF">
        <w:rPr>
          <w:szCs w:val="16"/>
        </w:rPr>
        <w:tab/>
      </w:r>
    </w:p>
  </w:footnote>
  <w:footnote w:id="23">
    <w:p w14:paraId="22D24164" w14:textId="761D65AB" w:rsidR="00153D89" w:rsidRPr="001F3BAF" w:rsidRDefault="00153D89" w:rsidP="001F3BAF">
      <w:pPr>
        <w:pStyle w:val="Footnote"/>
        <w:rPr>
          <w:szCs w:val="16"/>
        </w:rPr>
      </w:pPr>
      <w:r w:rsidRPr="001F3BAF">
        <w:rPr>
          <w:rStyle w:val="FootnoteReference"/>
          <w:szCs w:val="16"/>
        </w:rPr>
        <w:footnoteRef/>
      </w:r>
      <w:r w:rsidRPr="001F3BAF">
        <w:rPr>
          <w:szCs w:val="16"/>
        </w:rPr>
        <w:t xml:space="preserve">For example, a client’s or opposing party’s customer database supplied in a business sale will </w:t>
      </w:r>
      <w:r w:rsidR="001B5EB7" w:rsidRPr="001F3BAF">
        <w:rPr>
          <w:szCs w:val="16"/>
        </w:rPr>
        <w:t xml:space="preserve">likely </w:t>
      </w:r>
      <w:r w:rsidRPr="001F3BAF">
        <w:rPr>
          <w:szCs w:val="16"/>
        </w:rPr>
        <w:t xml:space="preserve">include personal information </w:t>
      </w:r>
      <w:r w:rsidR="00493DA3" w:rsidRPr="001F3BAF">
        <w:rPr>
          <w:szCs w:val="16"/>
        </w:rPr>
        <w:t>relating to</w:t>
      </w:r>
      <w:r w:rsidRPr="001F3BAF">
        <w:rPr>
          <w:szCs w:val="16"/>
        </w:rPr>
        <w:t xml:space="preserve"> many people. In this example your firm’s collection is not “for or in relation to AML” purposes but your </w:t>
      </w:r>
      <w:r w:rsidR="00206428" w:rsidRPr="001F3BAF">
        <w:rPr>
          <w:szCs w:val="16"/>
        </w:rPr>
        <w:t>client may be an APP regulated entity. Your firm may have both direct and indirect privacy obligations with respect to that data.</w:t>
      </w:r>
      <w:r w:rsidR="00493DA3" w:rsidRPr="001F3BAF">
        <w:rPr>
          <w:szCs w:val="16"/>
        </w:rPr>
        <w:t xml:space="preserve"> </w:t>
      </w:r>
      <w:r w:rsidR="006E36C5" w:rsidRPr="001F3BAF">
        <w:rPr>
          <w:szCs w:val="16"/>
        </w:rPr>
        <w:t xml:space="preserve">You are also potentially liable </w:t>
      </w:r>
      <w:r w:rsidR="00A66CDE" w:rsidRPr="001F3BAF">
        <w:rPr>
          <w:szCs w:val="16"/>
        </w:rPr>
        <w:t xml:space="preserve">to each person in the database </w:t>
      </w:r>
      <w:r w:rsidR="00B9408D" w:rsidRPr="001F3BAF">
        <w:rPr>
          <w:szCs w:val="16"/>
        </w:rPr>
        <w:t>under sch. 2 of the Privacy Act</w:t>
      </w:r>
      <w:r w:rsidR="00A66CDE" w:rsidRPr="001F3BAF">
        <w:rPr>
          <w:szCs w:val="16"/>
        </w:rPr>
        <w:t xml:space="preserve"> – serious invasion of privacy statutory tort regime.</w:t>
      </w:r>
      <w:r w:rsidR="00634ADF" w:rsidRPr="001F3BAF">
        <w:rPr>
          <w:szCs w:val="16"/>
        </w:rPr>
        <w:t xml:space="preserve"> There is no small business exemption.</w:t>
      </w:r>
    </w:p>
  </w:footnote>
  <w:footnote w:id="24">
    <w:p w14:paraId="4E45BB87" w14:textId="60D23958" w:rsidR="002E7E84" w:rsidRPr="001F3BAF" w:rsidRDefault="002E7E84" w:rsidP="001F3BAF">
      <w:pPr>
        <w:pStyle w:val="Footnote"/>
        <w:rPr>
          <w:szCs w:val="16"/>
        </w:rPr>
      </w:pPr>
      <w:r w:rsidRPr="001F3BAF">
        <w:rPr>
          <w:rStyle w:val="FootnoteReference"/>
          <w:szCs w:val="16"/>
        </w:rPr>
        <w:footnoteRef/>
      </w:r>
      <w:r w:rsidRPr="001F3BAF">
        <w:rPr>
          <w:szCs w:val="16"/>
        </w:rPr>
        <w:t xml:space="preserve">OAIC </w:t>
      </w:r>
      <w:r w:rsidR="00B3286B" w:rsidRPr="001F3BAF">
        <w:rPr>
          <w:szCs w:val="16"/>
        </w:rPr>
        <w:t xml:space="preserve">APP guidelines, key concepts, R-Z; &lt; </w:t>
      </w:r>
      <w:hyperlink r:id="rId9" w:history="1">
        <w:r w:rsidR="00B3286B" w:rsidRPr="001F3BAF">
          <w:rPr>
            <w:rStyle w:val="Hyperlink"/>
            <w:szCs w:val="16"/>
          </w:rPr>
          <w:t>https://www.oaic.gov.au/privacy/australian-privacy-principles/australian-privacy-principles-guidelines/chapter-b-key-concepts</w:t>
        </w:r>
      </w:hyperlink>
      <w:r w:rsidR="00B3286B" w:rsidRPr="001F3BAF">
        <w:rPr>
          <w:szCs w:val="16"/>
        </w:rPr>
        <w:t xml:space="preserve"> &gt;</w:t>
      </w:r>
    </w:p>
  </w:footnote>
  <w:footnote w:id="25">
    <w:p w14:paraId="545E955C" w14:textId="77777777" w:rsidR="005776EE" w:rsidRPr="001F3BAF" w:rsidRDefault="005776EE" w:rsidP="001F3BAF">
      <w:pPr>
        <w:pStyle w:val="Footnote"/>
        <w:rPr>
          <w:szCs w:val="16"/>
        </w:rPr>
      </w:pPr>
      <w:r w:rsidRPr="001F3BAF">
        <w:rPr>
          <w:rStyle w:val="FootnoteReference"/>
          <w:szCs w:val="16"/>
        </w:rPr>
        <w:footnoteRef/>
      </w:r>
      <w:r w:rsidRPr="001F3BAF">
        <w:rPr>
          <w:szCs w:val="16"/>
        </w:rPr>
        <w:t>Privacy Act 1988 (</w:t>
      </w:r>
      <w:proofErr w:type="spellStart"/>
      <w:r w:rsidRPr="001F3BAF">
        <w:rPr>
          <w:szCs w:val="16"/>
        </w:rPr>
        <w:t>Cth</w:t>
      </w:r>
      <w:proofErr w:type="spellEnd"/>
      <w:r w:rsidRPr="001F3BAF">
        <w:rPr>
          <w:szCs w:val="16"/>
        </w:rPr>
        <w:t>), s 6(1). Sensitive information includes information about racial or ethnic origin, political opinions, religious beliefs, sexual orientation, criminal record, health information, genetic information, and biometric information.</w:t>
      </w:r>
    </w:p>
  </w:footnote>
  <w:footnote w:id="26">
    <w:p w14:paraId="2434C6D6" w14:textId="7BEED848" w:rsidR="006D6482" w:rsidRPr="001F3BAF" w:rsidRDefault="006D6482" w:rsidP="001F3BAF">
      <w:pPr>
        <w:pStyle w:val="Footnote"/>
        <w:rPr>
          <w:szCs w:val="16"/>
        </w:rPr>
      </w:pPr>
      <w:r w:rsidRPr="001F3BAF">
        <w:rPr>
          <w:rStyle w:val="FootnoteReference"/>
          <w:szCs w:val="16"/>
        </w:rPr>
        <w:footnoteRef/>
      </w:r>
      <w:r w:rsidRPr="001F3BAF">
        <w:rPr>
          <w:szCs w:val="16"/>
        </w:rPr>
        <w:t>APP 3.3(a), subject to limited exceptions where collection is “required or authorised by or under an Australian law or a court/tribunal order) (APP 3.4(a)) : this can be difficult where the collection is not specifically required by a court order but only from statements of good practice (information concerning a beneficiary’s capacity to manage finances, for example.). Another exception is where there is a “general situation”, most pertinent is where collection is necessary to establish a legal or equitable claim : Privacy Act s.16A(1), Item 1)</w:t>
      </w:r>
    </w:p>
  </w:footnote>
  <w:footnote w:id="27">
    <w:p w14:paraId="4CD85DBD" w14:textId="14EC30E7" w:rsidR="00320CA7" w:rsidRPr="001F3BAF" w:rsidRDefault="00320CA7" w:rsidP="001F3BAF">
      <w:pPr>
        <w:pStyle w:val="Footnote"/>
        <w:rPr>
          <w:szCs w:val="16"/>
        </w:rPr>
      </w:pPr>
      <w:r w:rsidRPr="001F3BAF">
        <w:rPr>
          <w:rStyle w:val="FootnoteReference"/>
          <w:szCs w:val="16"/>
        </w:rPr>
        <w:footnoteRef/>
      </w:r>
      <w:r w:rsidRPr="001F3BAF">
        <w:rPr>
          <w:szCs w:val="16"/>
        </w:rPr>
        <w:t>App 3.4</w:t>
      </w:r>
    </w:p>
  </w:footnote>
  <w:footnote w:id="28">
    <w:p w14:paraId="4B94BF64" w14:textId="77777777" w:rsidR="005776EE" w:rsidRPr="001F3BAF" w:rsidRDefault="005776EE" w:rsidP="001F3BAF">
      <w:pPr>
        <w:pStyle w:val="Footnote"/>
        <w:rPr>
          <w:szCs w:val="16"/>
        </w:rPr>
      </w:pPr>
      <w:r w:rsidRPr="001F3BAF">
        <w:rPr>
          <w:rStyle w:val="FootnoteReference"/>
          <w:szCs w:val="16"/>
        </w:rPr>
        <w:footnoteRef/>
      </w:r>
      <w:r w:rsidRPr="001F3BAF">
        <w:rPr>
          <w:szCs w:val="16"/>
        </w:rPr>
        <w:t>Privacy Act 1988 (</w:t>
      </w:r>
      <w:proofErr w:type="spellStart"/>
      <w:r w:rsidRPr="001F3BAF">
        <w:rPr>
          <w:szCs w:val="16"/>
        </w:rPr>
        <w:t>Cth</w:t>
      </w:r>
      <w:proofErr w:type="spellEnd"/>
      <w:r w:rsidRPr="001F3BAF">
        <w:rPr>
          <w:szCs w:val="16"/>
        </w:rPr>
        <w:t>), Schedule 1 (Australian Privacy Principles). The APPs replaced the earlier National Privacy Principles and Information Privacy Principles from 12 March 2014.</w:t>
      </w:r>
    </w:p>
  </w:footnote>
  <w:footnote w:id="29">
    <w:p w14:paraId="247F386B" w14:textId="555E2E43" w:rsidR="005776EE" w:rsidRDefault="005776EE" w:rsidP="001F3BAF">
      <w:pPr>
        <w:pStyle w:val="Footnote"/>
      </w:pPr>
      <w:r w:rsidRPr="001F3BAF">
        <w:rPr>
          <w:rStyle w:val="FootnoteReference"/>
          <w:szCs w:val="16"/>
        </w:rPr>
        <w:footnoteRef/>
      </w:r>
      <w:r w:rsidRPr="001F3BAF">
        <w:rPr>
          <w:szCs w:val="16"/>
        </w:rPr>
        <w:t xml:space="preserve">OAIC, </w:t>
      </w:r>
      <w:hyperlink r:id="rId10" w:history="1">
        <w:r w:rsidRPr="001F3BAF">
          <w:rPr>
            <w:rStyle w:val="Hyperlink"/>
            <w:i/>
            <w:iCs/>
            <w:szCs w:val="16"/>
          </w:rPr>
          <w:t>Australian Privacy Principles Guidelines</w:t>
        </w:r>
      </w:hyperlink>
      <w:r w:rsidRPr="001F3BAF">
        <w:rPr>
          <w:szCs w:val="16"/>
        </w:rPr>
        <w:t>, Chapter A (Introduction), [A.7].</w:t>
      </w:r>
    </w:p>
  </w:footnote>
  <w:footnote w:id="30">
    <w:p w14:paraId="3FA43996" w14:textId="77777777" w:rsidR="005776EE" w:rsidRDefault="005776EE" w:rsidP="001F3BAF">
      <w:pPr>
        <w:pStyle w:val="Footnote"/>
      </w:pPr>
      <w:r>
        <w:rPr>
          <w:rStyle w:val="FootnoteReference"/>
        </w:rPr>
        <w:footnoteRef/>
      </w:r>
      <w:r>
        <w:t>Privacy Act 1988 (</w:t>
      </w:r>
      <w:proofErr w:type="spellStart"/>
      <w:r>
        <w:t>Cth</w:t>
      </w:r>
      <w:proofErr w:type="spellEnd"/>
      <w:r>
        <w:t>), Part IIIC, inserted by Privacy Amendment (Notifiable Data Breaches) Act 2017 (Cth), commencing 22 February 2018.</w:t>
      </w:r>
    </w:p>
  </w:footnote>
  <w:footnote w:id="31">
    <w:p w14:paraId="1CA092FC" w14:textId="77777777" w:rsidR="005F34C2" w:rsidRDefault="005F34C2" w:rsidP="001F3BAF">
      <w:pPr>
        <w:pStyle w:val="Footnote"/>
      </w:pPr>
      <w:r>
        <w:rPr>
          <w:rStyle w:val="FootnoteReference"/>
        </w:rPr>
        <w:footnoteRef/>
      </w:r>
      <w:r>
        <w:t xml:space="preserve">AUSTRAC, </w:t>
      </w:r>
      <w:r>
        <w:rPr>
          <w:i/>
          <w:iCs/>
        </w:rPr>
        <w:t>Professional services (Reform)</w:t>
      </w:r>
      <w:r>
        <w:t>, Table 6: Designated services for lawyers.</w:t>
      </w:r>
    </w:p>
  </w:footnote>
  <w:footnote w:id="32">
    <w:p w14:paraId="1CC9DE1E" w14:textId="77777777" w:rsidR="005776EE" w:rsidRDefault="005776EE" w:rsidP="001F3BAF">
      <w:pPr>
        <w:pStyle w:val="Footnote"/>
      </w:pPr>
      <w:r>
        <w:rPr>
          <w:rStyle w:val="FootnoteReference"/>
        </w:rPr>
        <w:footnoteRef/>
      </w:r>
      <w:r>
        <w:t>Anti-Money Laundering and Counter-Terrorism Financing Act 2006 (Cth), s 81 (reporting obligations) and Part 3 (customer due diligence).</w:t>
      </w:r>
    </w:p>
  </w:footnote>
  <w:footnote w:id="33">
    <w:p w14:paraId="098343ED" w14:textId="441CD360" w:rsidR="00E6006F" w:rsidRDefault="00E6006F" w:rsidP="001F3BAF">
      <w:pPr>
        <w:pStyle w:val="Footnote"/>
      </w:pPr>
      <w:r>
        <w:rPr>
          <w:rStyle w:val="FootnoteReference"/>
        </w:rPr>
        <w:footnoteRef/>
      </w:r>
      <w:r>
        <w:t>OAIC</w:t>
      </w:r>
      <w:r w:rsidR="00BD7359">
        <w:t xml:space="preserve">: Privacy guidance for reporting entities under the AML CTF Act, &lt; </w:t>
      </w:r>
      <w:hyperlink r:id="rId11" w:history="1">
        <w:r w:rsidR="00BD7359" w:rsidRPr="00BD7359">
          <w:rPr>
            <w:rStyle w:val="Hyperlink"/>
          </w:rPr>
          <w:t>https://www.oaic.gov.au/privacy/privacy-guidance-for-organisations-and-government-agencies/organisations/privacy-guidance-for-reporting-entities-under-the-anti-money-laundering-and-counter-terrorism-financing-act</w:t>
        </w:r>
      </w:hyperlink>
      <w:r w:rsidR="00BD7359">
        <w:t xml:space="preserve"> &gt;</w:t>
      </w:r>
    </w:p>
  </w:footnote>
  <w:footnote w:id="34">
    <w:p w14:paraId="038FCBFD" w14:textId="20E5F254" w:rsidR="00E74ABE" w:rsidRDefault="00E74ABE" w:rsidP="001F3BAF">
      <w:pPr>
        <w:pStyle w:val="Footnote"/>
      </w:pPr>
      <w:r>
        <w:rPr>
          <w:rStyle w:val="FootnoteReference"/>
        </w:rPr>
        <w:footnoteRef/>
      </w:r>
      <w:proofErr w:type="spellStart"/>
      <w:r w:rsidR="00B15675">
        <w:t>Quare</w:t>
      </w:r>
      <w:proofErr w:type="spellEnd"/>
      <w:r w:rsidR="00B15675">
        <w:t xml:space="preserve"> whether data referenced in such ongoing assessment is necessarily “collected for or in </w:t>
      </w:r>
      <w:r w:rsidR="000A34A5">
        <w:t>relation to” AML.</w:t>
      </w:r>
    </w:p>
  </w:footnote>
  <w:footnote w:id="35">
    <w:p w14:paraId="075AD8D4" w14:textId="77777777" w:rsidR="005776EE" w:rsidRDefault="005776EE" w:rsidP="001F3BAF">
      <w:pPr>
        <w:pStyle w:val="Footnote"/>
      </w:pPr>
      <w:r>
        <w:rPr>
          <w:rStyle w:val="FootnoteReference"/>
        </w:rPr>
        <w:footnoteRef/>
      </w:r>
      <w:r>
        <w:t xml:space="preserve">Anti-Money Laundering and Counter-Terrorism Financing Act 2006 (Cth), s 107 (record keeping for 7 years). See also AUSTRAC, </w:t>
      </w:r>
      <w:r>
        <w:rPr>
          <w:i/>
          <w:iCs/>
        </w:rPr>
        <w:t>Record keeping overview</w:t>
      </w:r>
      <w:r>
        <w:t>.</w:t>
      </w:r>
    </w:p>
  </w:footnote>
  <w:footnote w:id="36">
    <w:p w14:paraId="5EE856B1" w14:textId="77777777" w:rsidR="005776EE" w:rsidRDefault="005776EE" w:rsidP="0023228D">
      <w:pPr>
        <w:pStyle w:val="Footnote"/>
      </w:pPr>
      <w:r>
        <w:rPr>
          <w:rStyle w:val="FootnoteReference"/>
        </w:rPr>
        <w:footnoteRef/>
      </w:r>
      <w:r>
        <w:t>Australian Solicitors' Conduct Rules 2012 (Qld), r 9.1.</w:t>
      </w:r>
    </w:p>
  </w:footnote>
  <w:footnote w:id="37">
    <w:p w14:paraId="1252A14A" w14:textId="77777777" w:rsidR="005776EE" w:rsidRDefault="005776EE" w:rsidP="0023228D">
      <w:pPr>
        <w:pStyle w:val="Footnote"/>
      </w:pPr>
      <w:r>
        <w:rPr>
          <w:rStyle w:val="FootnoteReference"/>
        </w:rPr>
        <w:footnoteRef/>
      </w:r>
      <w:r>
        <w:t>Australian Solicitors' Conduct Rules 2012 (Qld), r 9.2 sets out the exceptions permitting disclosure, including where required by law, to prevent serious criminal offences, or with client consent.</w:t>
      </w:r>
    </w:p>
  </w:footnote>
  <w:footnote w:id="38">
    <w:p w14:paraId="07025752" w14:textId="77777777" w:rsidR="005776EE" w:rsidRDefault="005776EE" w:rsidP="0023228D">
      <w:pPr>
        <w:pStyle w:val="Footnote"/>
      </w:pPr>
      <w:r>
        <w:rPr>
          <w:rStyle w:val="FootnoteReference"/>
        </w:rPr>
        <w:footnoteRef/>
      </w:r>
      <w:r>
        <w:t>Legal Profession Act 2007 (Qld), Part 3.4 (Trust money and trust accounts), particularly Division 2 (Trust accounts).</w:t>
      </w:r>
    </w:p>
  </w:footnote>
  <w:footnote w:id="39">
    <w:p w14:paraId="78691F56" w14:textId="7067F82F" w:rsidR="0067171C" w:rsidRPr="00E2445E" w:rsidRDefault="0067171C" w:rsidP="00E2445E">
      <w:pPr>
        <w:pStyle w:val="Footnote"/>
      </w:pPr>
      <w:r w:rsidRPr="00E97C88">
        <w:rPr>
          <w:rStyle w:val="FootnoteReference"/>
        </w:rPr>
        <w:footnoteRef/>
      </w:r>
      <w:r w:rsidRPr="00E2445E">
        <w:t xml:space="preserve">See the Law Institute of Victoria resource here: </w:t>
      </w:r>
      <w:hyperlink r:id="rId12" w:history="1">
        <w:r w:rsidRPr="00E2445E">
          <w:rPr>
            <w:rStyle w:val="Hyperlink"/>
            <w:color w:val="auto"/>
            <w:u w:val="none"/>
          </w:rPr>
          <w:t>20251211_Ethics Guideline_Balancing_LPP_and_AML_Final.pdf</w:t>
        </w:r>
      </w:hyperlink>
    </w:p>
  </w:footnote>
  <w:footnote w:id="40">
    <w:p w14:paraId="42B71C64" w14:textId="055386D3" w:rsidR="000802F6" w:rsidRPr="00E2445E" w:rsidRDefault="000802F6" w:rsidP="00E2445E">
      <w:pPr>
        <w:pStyle w:val="Footnote"/>
      </w:pPr>
      <w:r w:rsidRPr="00E97C88">
        <w:rPr>
          <w:rStyle w:val="FootnoteReference"/>
        </w:rPr>
        <w:footnoteRef/>
      </w:r>
      <w:r w:rsidRPr="00E2445E">
        <w:t xml:space="preserve">See Hearne v Street </w:t>
      </w:r>
      <w:hyperlink r:id="rId13" w:history="1">
        <w:r w:rsidRPr="00E2445E">
          <w:rPr>
            <w:rStyle w:val="Hyperlink"/>
            <w:color w:val="auto"/>
            <w:u w:val="none"/>
          </w:rPr>
          <w:t>[2008</w:t>
        </w:r>
        <w:r w:rsidR="006E0859" w:rsidRPr="00E2445E">
          <w:rPr>
            <w:rStyle w:val="Hyperlink"/>
            <w:color w:val="auto"/>
            <w:u w:val="none"/>
          </w:rPr>
          <w:t>] HCA 36</w:t>
        </w:r>
      </w:hyperlink>
    </w:p>
  </w:footnote>
  <w:footnote w:id="41">
    <w:p w14:paraId="774C46A5" w14:textId="77777777" w:rsidR="005B35D4" w:rsidRPr="00E2445E" w:rsidRDefault="005B35D4" w:rsidP="005B35D4">
      <w:pPr>
        <w:pStyle w:val="Footnote"/>
      </w:pPr>
      <w:r w:rsidRPr="00E97C88">
        <w:rPr>
          <w:rStyle w:val="FootnoteReference"/>
        </w:rPr>
        <w:footnoteRef/>
      </w:r>
      <w:r w:rsidRPr="00E2445E">
        <w:t>Privacy Act 1988 (</w:t>
      </w:r>
      <w:proofErr w:type="spellStart"/>
      <w:r w:rsidRPr="00E2445E">
        <w:t>Cth</w:t>
      </w:r>
      <w:proofErr w:type="spellEnd"/>
      <w:r w:rsidRPr="00E2445E">
        <w:t>), Part V (Investigations). See also OAIC, Guide to Privacy Regulatory Action, Chapter 1 (Privacy complaint handling process).</w:t>
      </w:r>
    </w:p>
  </w:footnote>
  <w:footnote w:id="42">
    <w:p w14:paraId="1F7AF233" w14:textId="77777777" w:rsidR="005B35D4" w:rsidRDefault="005B35D4" w:rsidP="005B35D4">
      <w:pPr>
        <w:pStyle w:val="Footnote"/>
      </w:pPr>
      <w:r w:rsidRPr="00E97C88">
        <w:rPr>
          <w:rStyle w:val="FootnoteReference"/>
        </w:rPr>
        <w:footnoteRef/>
      </w:r>
      <w:r w:rsidRPr="00E2445E">
        <w:t>Privacy Act 1988 (</w:t>
      </w:r>
      <w:proofErr w:type="spellStart"/>
      <w:r w:rsidRPr="00E2445E">
        <w:t>Cth</w:t>
      </w:r>
      <w:proofErr w:type="spellEnd"/>
      <w:r w:rsidRPr="00E2445E">
        <w:t>), s 13G (civil penalties) and s 80W (enforceable undertakings).</w:t>
      </w:r>
    </w:p>
  </w:footnote>
  <w:footnote w:id="43">
    <w:p w14:paraId="7FDCAA8B" w14:textId="77777777" w:rsidR="005776EE" w:rsidRPr="00E2445E" w:rsidRDefault="005776EE" w:rsidP="00E2445E">
      <w:pPr>
        <w:pStyle w:val="Footnote"/>
      </w:pPr>
      <w:r w:rsidRPr="00E97C88">
        <w:rPr>
          <w:rStyle w:val="FootnoteReference"/>
        </w:rPr>
        <w:footnoteRef/>
      </w:r>
      <w:r w:rsidRPr="00E2445E">
        <w:t>Privacy Act 1988 (</w:t>
      </w:r>
      <w:proofErr w:type="spellStart"/>
      <w:r w:rsidRPr="00E2445E">
        <w:t>Cth</w:t>
      </w:r>
      <w:proofErr w:type="spellEnd"/>
      <w:r w:rsidRPr="00E2445E">
        <w:t>), s 33C (functions of the Information Commissioner).</w:t>
      </w:r>
    </w:p>
  </w:footnote>
  <w:footnote w:id="44">
    <w:p w14:paraId="5FD7FB22" w14:textId="77777777" w:rsidR="005776EE" w:rsidRDefault="005776EE" w:rsidP="00E2445E">
      <w:pPr>
        <w:pStyle w:val="Footnote"/>
      </w:pPr>
      <w:r>
        <w:rPr>
          <w:rStyle w:val="FootnoteReference"/>
        </w:rPr>
        <w:footnoteRef/>
      </w:r>
      <w:r>
        <w:t>Australian Privacy Principle 1.3-1.4, requiring a clearly expressed and up-to-date privacy policy.</w:t>
      </w:r>
    </w:p>
  </w:footnote>
  <w:footnote w:id="45">
    <w:p w14:paraId="7BCA3678" w14:textId="77777777" w:rsidR="005776EE" w:rsidRDefault="005776EE" w:rsidP="00E2445E">
      <w:pPr>
        <w:pStyle w:val="Footnote"/>
      </w:pPr>
      <w:r>
        <w:rPr>
          <w:rStyle w:val="FootnoteReference"/>
        </w:rPr>
        <w:footnoteRef/>
      </w:r>
      <w:r>
        <w:t>Australian Privacy Principle 5, requiring notification of collection at or before the time of collection, or as soon as practicable afterwards.</w:t>
      </w:r>
    </w:p>
  </w:footnote>
  <w:footnote w:id="46">
    <w:p w14:paraId="179881BF" w14:textId="77777777" w:rsidR="005776EE" w:rsidRDefault="005776EE" w:rsidP="00E2445E">
      <w:pPr>
        <w:pStyle w:val="Footnote"/>
      </w:pPr>
      <w:r>
        <w:rPr>
          <w:rStyle w:val="FootnoteReference"/>
        </w:rPr>
        <w:footnoteRef/>
      </w:r>
      <w:r>
        <w:t>Australian Privacy Principles 12 and 13, giving individuals rights to access and correct personal information held about them.</w:t>
      </w:r>
    </w:p>
  </w:footnote>
  <w:footnote w:id="47">
    <w:p w14:paraId="50B64272" w14:textId="77777777" w:rsidR="005776EE" w:rsidRDefault="005776EE" w:rsidP="00E2445E">
      <w:pPr>
        <w:pStyle w:val="Footnote"/>
      </w:pPr>
      <w:r>
        <w:rPr>
          <w:rStyle w:val="FootnoteReference"/>
        </w:rPr>
        <w:footnoteRef/>
      </w:r>
      <w:r>
        <w:t>Privacy Act 1988 (Cth), Part IIIC (Notifiable Data Breaches scheme), requiring notification to the OAIC and affected individuals of eligible data breaches.</w:t>
      </w:r>
    </w:p>
  </w:footnote>
  <w:footnote w:id="48">
    <w:p w14:paraId="7B1FE2E2" w14:textId="29511D1C" w:rsidR="005776EE" w:rsidRDefault="005776EE" w:rsidP="00E2445E">
      <w:pPr>
        <w:pStyle w:val="Footnote"/>
      </w:pPr>
      <w:r>
        <w:rPr>
          <w:rStyle w:val="FootnoteReference"/>
        </w:rPr>
        <w:footnoteRef/>
      </w:r>
      <w:hyperlink r:id="rId14" w:history="1">
        <w:r w:rsidRPr="00ED5689">
          <w:rPr>
            <w:rStyle w:val="Hyperlink"/>
          </w:rPr>
          <w:t>Australian Solicitors' Conduct Rules 2012</w:t>
        </w:r>
      </w:hyperlink>
      <w:r>
        <w:t xml:space="preserve"> (Qld), r 9.2.1 (disclosure compelled by law).</w:t>
      </w:r>
    </w:p>
  </w:footnote>
  <w:footnote w:id="49">
    <w:p w14:paraId="114FDF48" w14:textId="7FACF8AE" w:rsidR="005776EE" w:rsidRDefault="005776EE" w:rsidP="00E2445E">
      <w:pPr>
        <w:pStyle w:val="Footnote"/>
      </w:pPr>
      <w:r>
        <w:rPr>
          <w:rStyle w:val="FootnoteReference"/>
        </w:rPr>
        <w:footnoteRef/>
      </w:r>
      <w:r>
        <w:t>Australian Privacy Principle 6.2(b) permits use or disclosure required or authorised by or under an Australian law</w:t>
      </w:r>
      <w:r w:rsidR="00586CF7">
        <w:t xml:space="preserve">; See OAIC Australian Privacy Principles: </w:t>
      </w:r>
      <w:r w:rsidR="00071553">
        <w:t xml:space="preserve">&lt; </w:t>
      </w:r>
      <w:r w:rsidR="00071553" w:rsidRPr="00071553">
        <w:t>https://</w:t>
      </w:r>
      <w:hyperlink r:id="rId15" w:history="1">
        <w:r w:rsidR="00071553" w:rsidRPr="00071553">
          <w:rPr>
            <w:rStyle w:val="Hyperlink"/>
          </w:rPr>
          <w:t>www.oaic.gov.au/privacy/australian-privacy-principles/australian-privacy-principles-guidelines/chapter-6-app-6-use-or-disclosure-of-personal-information</w:t>
        </w:r>
      </w:hyperlink>
      <w:r w:rsidR="00071553">
        <w:t xml:space="preserve"> &gt;</w:t>
      </w:r>
    </w:p>
  </w:footnote>
  <w:footnote w:id="50">
    <w:p w14:paraId="40358547" w14:textId="512191C9" w:rsidR="005776EE" w:rsidRDefault="005776EE" w:rsidP="00E2445E">
      <w:pPr>
        <w:pStyle w:val="Footnote"/>
      </w:pPr>
      <w:r>
        <w:rPr>
          <w:rStyle w:val="FootnoteReference"/>
        </w:rPr>
        <w:footnoteRef/>
      </w:r>
      <w:r>
        <w:t xml:space="preserve">OAIC, Chapter 1: APP 1 — </w:t>
      </w:r>
      <w:hyperlink r:id="rId16" w:history="1">
        <w:r w:rsidRPr="00751696">
          <w:rPr>
            <w:rStyle w:val="Hyperlink"/>
          </w:rPr>
          <w:t>Open and transparent management of personal information, APP Guidelines (October 2025)</w:t>
        </w:r>
      </w:hyperlink>
      <w:r>
        <w:t>, [1.4]-[1.5].</w:t>
      </w:r>
    </w:p>
  </w:footnote>
  <w:footnote w:id="51">
    <w:p w14:paraId="54A72E6A" w14:textId="432473EA" w:rsidR="00C57F2A" w:rsidRDefault="00C57F2A" w:rsidP="00C57F2A">
      <w:pPr>
        <w:pStyle w:val="Footnote"/>
      </w:pPr>
      <w:r>
        <w:rPr>
          <w:rStyle w:val="FootnoteReference"/>
        </w:rPr>
        <w:footnoteRef/>
      </w:r>
      <w:r>
        <w:t xml:space="preserve">OAIC, </w:t>
      </w:r>
      <w:r>
        <w:rPr>
          <w:i/>
          <w:iCs/>
        </w:rPr>
        <w:t>Guide to developing an APP privacy policy</w:t>
      </w:r>
      <w:r>
        <w:t xml:space="preserve"> (September 2024), available at &lt;https://</w:t>
      </w:r>
      <w:hyperlink r:id="rId17" w:history="1">
        <w:r w:rsidRPr="00B50DF1">
          <w:rPr>
            <w:rStyle w:val="Hyperlink"/>
          </w:rPr>
          <w:t>www.oaic.gov.au/privacy/privacy-guidance-for-organisations-and-government-agencies/more-guidance/guide-to-developing-an-app-privacy-policy</w:t>
        </w:r>
      </w:hyperlink>
      <w:r>
        <w:t>&gt;.</w:t>
      </w:r>
    </w:p>
  </w:footnote>
  <w:footnote w:id="52">
    <w:p w14:paraId="342C7813" w14:textId="2E8AD356" w:rsidR="005776EE" w:rsidRDefault="005776EE" w:rsidP="00E2445E">
      <w:pPr>
        <w:pStyle w:val="Footnote"/>
      </w:pPr>
      <w:r>
        <w:rPr>
          <w:rStyle w:val="FootnoteReference"/>
        </w:rPr>
        <w:footnoteRef/>
      </w:r>
      <w:r>
        <w:t>Australian Privacy Principle 5.1</w:t>
      </w:r>
      <w:r w:rsidR="00FB2413">
        <w:t>.</w:t>
      </w:r>
      <w:r>
        <w:t xml:space="preserve"> The nine matters that must be notified are set out in APP 5.2.</w:t>
      </w:r>
    </w:p>
  </w:footnote>
  <w:footnote w:id="53">
    <w:p w14:paraId="29075216" w14:textId="311C3CCB" w:rsidR="005776EE" w:rsidRDefault="005776EE" w:rsidP="00E2445E">
      <w:pPr>
        <w:pStyle w:val="Footnote"/>
      </w:pPr>
      <w:r>
        <w:rPr>
          <w:rStyle w:val="FootnoteReference"/>
        </w:rPr>
        <w:footnoteRef/>
      </w:r>
      <w:r>
        <w:t xml:space="preserve">OAIC, Chapter 5: APP 5 — </w:t>
      </w:r>
      <w:hyperlink r:id="rId18" w:history="1">
        <w:r w:rsidRPr="00306AFF">
          <w:rPr>
            <w:rStyle w:val="Hyperlink"/>
          </w:rPr>
          <w:t>Notification of the collection of personal information, APP Guidelines</w:t>
        </w:r>
      </w:hyperlink>
      <w:r>
        <w:t xml:space="preserve"> (October 2025), [5.1]-[5.8].</w:t>
      </w:r>
    </w:p>
  </w:footnote>
  <w:footnote w:id="54">
    <w:p w14:paraId="09312F0F" w14:textId="75E4F327" w:rsidR="004E002F" w:rsidRDefault="004E002F" w:rsidP="00E2445E">
      <w:pPr>
        <w:pStyle w:val="Footnote"/>
      </w:pPr>
      <w:r>
        <w:rPr>
          <w:rStyle w:val="FootnoteReference"/>
        </w:rPr>
        <w:footnoteRef/>
      </w:r>
      <w:r>
        <w:t xml:space="preserve"> Keep ASCR R.33 (“No-Contact Rule”) in mind.</w:t>
      </w:r>
    </w:p>
  </w:footnote>
  <w:footnote w:id="55">
    <w:p w14:paraId="18E4E006" w14:textId="77777777" w:rsidR="005776EE" w:rsidRDefault="005776EE" w:rsidP="00E2445E">
      <w:pPr>
        <w:pStyle w:val="Footnote"/>
      </w:pPr>
      <w:r>
        <w:rPr>
          <w:rStyle w:val="FootnoteReference"/>
        </w:rPr>
        <w:footnoteRef/>
      </w:r>
      <w:r>
        <w:t>Privacy Act 1988 (</w:t>
      </w:r>
      <w:proofErr w:type="spellStart"/>
      <w:r>
        <w:t>Cth</w:t>
      </w:r>
      <w:proofErr w:type="spellEnd"/>
      <w:r>
        <w:t>), Part IIIC (Notifiable Data Breaches scheme), ss 26WE-26WK.</w:t>
      </w:r>
    </w:p>
  </w:footnote>
  <w:footnote w:id="56">
    <w:p w14:paraId="1F730B57" w14:textId="77777777" w:rsidR="005776EE" w:rsidRDefault="005776EE" w:rsidP="00E2445E">
      <w:pPr>
        <w:pStyle w:val="Footnote"/>
      </w:pPr>
      <w:r>
        <w:rPr>
          <w:rStyle w:val="FootnoteReference"/>
        </w:rPr>
        <w:footnoteRef/>
      </w:r>
      <w:r>
        <w:t xml:space="preserve">OAIC, </w:t>
      </w:r>
      <w:r>
        <w:rPr>
          <w:i/>
          <w:iCs/>
        </w:rPr>
        <w:t>Data breach preparation and response</w:t>
      </w:r>
      <w:r>
        <w:t xml:space="preserve"> (February 2025), Part 2: Responding to data breaches — four key steps.</w:t>
      </w:r>
    </w:p>
  </w:footnote>
  <w:footnote w:id="57">
    <w:p w14:paraId="1B86D52F" w14:textId="625E17F5" w:rsidR="005776EE" w:rsidRDefault="005776EE" w:rsidP="00E2445E">
      <w:pPr>
        <w:pStyle w:val="Footnote"/>
      </w:pPr>
      <w:r>
        <w:rPr>
          <w:rStyle w:val="FootnoteReference"/>
        </w:rPr>
        <w:footnoteRef/>
      </w:r>
      <w:r>
        <w:t>Australian Privacy Principle 1.2</w:t>
      </w:r>
      <w:r w:rsidR="00FB2413">
        <w:t>.</w:t>
      </w:r>
      <w:r>
        <w:t>.</w:t>
      </w:r>
    </w:p>
  </w:footnote>
  <w:footnote w:id="58">
    <w:p w14:paraId="1EAD37FB" w14:textId="77777777" w:rsidR="005776EE" w:rsidRDefault="005776EE" w:rsidP="00E2445E">
      <w:pPr>
        <w:pStyle w:val="Footnote"/>
      </w:pPr>
      <w:r>
        <w:rPr>
          <w:rStyle w:val="FootnoteReference"/>
        </w:rPr>
        <w:footnoteRef/>
      </w:r>
      <w:r>
        <w:t xml:space="preserve">OAIC, </w:t>
      </w:r>
      <w:r>
        <w:rPr>
          <w:i/>
          <w:iCs/>
        </w:rPr>
        <w:t>Guide to undertaking privacy impact assessments</w:t>
      </w:r>
      <w:r>
        <w:t xml:space="preserve"> (September 2024), available at &lt;https://www.oaic.gov.au/privacy/privacy-guidance-for-organisations-and-government-agencies/privacy-impact-assessments/guide-to-undertaking-privacy-impact-assessments&gt;.</w:t>
      </w:r>
    </w:p>
  </w:footnote>
  <w:footnote w:id="59">
    <w:p w14:paraId="76494BBB" w14:textId="60EA18D8" w:rsidR="005776EE" w:rsidRDefault="005776EE" w:rsidP="00E2445E">
      <w:pPr>
        <w:pStyle w:val="Footnote"/>
      </w:pPr>
      <w:r>
        <w:rPr>
          <w:rStyle w:val="FootnoteReference"/>
        </w:rPr>
        <w:footnoteRef/>
      </w:r>
      <w:r>
        <w:t>Australian Privacy Principle 12.1</w:t>
      </w:r>
    </w:p>
  </w:footnote>
  <w:footnote w:id="60">
    <w:p w14:paraId="74EB43EF" w14:textId="5843412E" w:rsidR="005776EE" w:rsidRDefault="005776EE" w:rsidP="00E2445E">
      <w:pPr>
        <w:pStyle w:val="Footnote"/>
      </w:pPr>
      <w:r>
        <w:rPr>
          <w:rStyle w:val="FootnoteReference"/>
        </w:rPr>
        <w:footnoteRef/>
      </w:r>
      <w:r>
        <w:t xml:space="preserve">OAIC, </w:t>
      </w:r>
      <w:hyperlink r:id="rId19" w:history="1">
        <w:r w:rsidRPr="00D8019A">
          <w:rPr>
            <w:rStyle w:val="Hyperlink"/>
            <w:i/>
            <w:iCs/>
          </w:rPr>
          <w:t>Dealing with requests for access to personal information</w:t>
        </w:r>
      </w:hyperlink>
      <w:r>
        <w:t xml:space="preserve"> (July 2025). The OAIC indicates that 30 calendar days is generally a reasonable period for responding to access requests.</w:t>
      </w:r>
    </w:p>
  </w:footnote>
  <w:footnote w:id="61">
    <w:p w14:paraId="009A2389" w14:textId="4B8873E6" w:rsidR="005776EE" w:rsidRDefault="005776EE" w:rsidP="00E2445E">
      <w:pPr>
        <w:pStyle w:val="Footnote"/>
      </w:pPr>
      <w:r>
        <w:rPr>
          <w:rStyle w:val="FootnoteReference"/>
        </w:rPr>
        <w:footnoteRef/>
      </w:r>
      <w:r>
        <w:t>Australian Privacy Principle 12.3, , sets out the exceptions to the access requirement.</w:t>
      </w:r>
    </w:p>
  </w:footnote>
  <w:footnote w:id="62">
    <w:p w14:paraId="0ABE0BD2" w14:textId="308E3BEF" w:rsidR="007A11E4" w:rsidRPr="00E97C88" w:rsidRDefault="007A11E4">
      <w:pPr>
        <w:pStyle w:val="FootnoteText"/>
        <w:rPr>
          <w:sz w:val="16"/>
          <w:szCs w:val="16"/>
        </w:rPr>
      </w:pPr>
      <w:r w:rsidRPr="00E97C88">
        <w:rPr>
          <w:rStyle w:val="FootnoteReference"/>
          <w:sz w:val="16"/>
          <w:szCs w:val="16"/>
        </w:rPr>
        <w:footnoteRef/>
      </w:r>
      <w:r w:rsidR="00F67081" w:rsidRPr="00E97C88">
        <w:rPr>
          <w:sz w:val="16"/>
          <w:szCs w:val="16"/>
        </w:rPr>
        <w:t xml:space="preserve">The notable exception being beneficial ownership data relating to the identities and characteristics of </w:t>
      </w:r>
      <w:r w:rsidR="0074736C" w:rsidRPr="00E97C88">
        <w:rPr>
          <w:sz w:val="16"/>
          <w:szCs w:val="16"/>
        </w:rPr>
        <w:t>beneficiaries of trusts, including testamentary trusts</w:t>
      </w:r>
      <w:r w:rsidR="00A714F1" w:rsidRPr="00E97C88">
        <w:rPr>
          <w:sz w:val="16"/>
          <w:szCs w:val="16"/>
        </w:rPr>
        <w:t>, related individuals.</w:t>
      </w:r>
    </w:p>
  </w:footnote>
  <w:footnote w:id="63">
    <w:p w14:paraId="3451EE0D" w14:textId="0FC7F794" w:rsidR="005776EE" w:rsidRDefault="005776EE" w:rsidP="00E2445E">
      <w:pPr>
        <w:pStyle w:val="Footnote"/>
      </w:pPr>
      <w:r>
        <w:rPr>
          <w:rStyle w:val="FootnoteReference"/>
        </w:rPr>
        <w:footnoteRef/>
      </w:r>
      <w:r>
        <w:t>Australian Privacy Principle 13.1</w:t>
      </w:r>
    </w:p>
  </w:footnote>
  <w:footnote w:id="64">
    <w:p w14:paraId="462633CD" w14:textId="74D9AD4B" w:rsidR="005776EE" w:rsidRDefault="005776EE" w:rsidP="00E2445E">
      <w:pPr>
        <w:pStyle w:val="Footnote"/>
      </w:pPr>
      <w:r>
        <w:rPr>
          <w:rStyle w:val="FootnoteReference"/>
        </w:rPr>
        <w:footnoteRef/>
      </w:r>
      <w:r>
        <w:t>Australian Privacy Principle 13.2. If the entity refuses to correct, APP 13.3 requires the entity to associate a statement with the information.</w:t>
      </w:r>
    </w:p>
  </w:footnote>
  <w:footnote w:id="65">
    <w:p w14:paraId="429E24F7" w14:textId="77777777" w:rsidR="005776EE" w:rsidRDefault="005776EE" w:rsidP="00E2445E">
      <w:pPr>
        <w:pStyle w:val="Footnote"/>
      </w:pPr>
      <w:r>
        <w:rPr>
          <w:rStyle w:val="FootnoteReference"/>
        </w:rPr>
        <w:footnoteRef/>
      </w:r>
      <w:r>
        <w:t xml:space="preserve">OAIC, </w:t>
      </w:r>
      <w:r>
        <w:rPr>
          <w:i/>
          <w:iCs/>
        </w:rPr>
        <w:t>Handling privacy complaints</w:t>
      </w:r>
      <w:r>
        <w:t xml:space="preserve"> (September 2024), available at &lt;https://www.oaic.gov.au/privacy/privacy-guidance-for-organisations-and-government-agencies/more-guidance/handling-privacy-complaints&gt;.</w:t>
      </w:r>
    </w:p>
  </w:footnote>
  <w:footnote w:id="66">
    <w:p w14:paraId="47FCDFA9" w14:textId="77777777" w:rsidR="005776EE" w:rsidRDefault="005776EE" w:rsidP="00E2445E">
      <w:pPr>
        <w:pStyle w:val="Footnote"/>
      </w:pPr>
      <w:r>
        <w:rPr>
          <w:rStyle w:val="FootnoteReference"/>
        </w:rPr>
        <w:footnoteRef/>
      </w:r>
      <w:r>
        <w:t>Privacy Act 1988 (Cth), s 36 (complaints to the Information Commissioner).</w:t>
      </w:r>
    </w:p>
  </w:footnote>
  <w:footnote w:id="67">
    <w:p w14:paraId="4B1D3E9F" w14:textId="77777777" w:rsidR="005776EE" w:rsidRDefault="005776EE" w:rsidP="00E2445E">
      <w:pPr>
        <w:pStyle w:val="Footnote"/>
      </w:pPr>
      <w:r>
        <w:rPr>
          <w:rStyle w:val="FootnoteReference"/>
        </w:rPr>
        <w:footnoteRef/>
      </w:r>
      <w:r>
        <w:t>Australian Solicitors' Conduct Rules 2012 (Qld), r 9.1.</w:t>
      </w:r>
    </w:p>
  </w:footnote>
  <w:footnote w:id="68">
    <w:p w14:paraId="3BF826A4" w14:textId="77777777" w:rsidR="005776EE" w:rsidRDefault="005776EE" w:rsidP="00E2445E">
      <w:pPr>
        <w:pStyle w:val="Footnote"/>
      </w:pPr>
      <w:r>
        <w:rPr>
          <w:rStyle w:val="FootnoteReference"/>
        </w:rPr>
        <w:footnoteRef/>
      </w:r>
      <w:r>
        <w:t>Evidence Act 1995 (</w:t>
      </w:r>
      <w:proofErr w:type="spellStart"/>
      <w:r>
        <w:t>Cth</w:t>
      </w:r>
      <w:proofErr w:type="spellEnd"/>
      <w:r>
        <w:t>), ss 118-119. Legal professional privilege continues to apply to privileged communications regardless of Privacy Act obligations.</w:t>
      </w:r>
    </w:p>
  </w:footnote>
  <w:footnote w:id="69">
    <w:p w14:paraId="39EF22FE" w14:textId="5DDA08CF" w:rsidR="005776EE" w:rsidRDefault="005776EE" w:rsidP="00E2445E">
      <w:pPr>
        <w:pStyle w:val="Footnote"/>
      </w:pPr>
      <w:r>
        <w:rPr>
          <w:rStyle w:val="FootnoteReference"/>
        </w:rPr>
        <w:footnoteRef/>
      </w:r>
      <w:r>
        <w:t>Australian Privacy Principle 12.3(h), which permits refusal of access where giving access would reveal evaluative information in connection with a commercially sensitive decision-making process.</w:t>
      </w:r>
    </w:p>
  </w:footnote>
  <w:footnote w:id="70">
    <w:p w14:paraId="261E33B4" w14:textId="1B3C1AA2" w:rsidR="005776EE" w:rsidRDefault="005776EE" w:rsidP="00E2445E">
      <w:pPr>
        <w:pStyle w:val="Footnote"/>
      </w:pPr>
      <w:r>
        <w:rPr>
          <w:rStyle w:val="FootnoteReference"/>
        </w:rPr>
        <w:footnoteRef/>
      </w:r>
      <w:r>
        <w:t>Australian Privacy Principle 12.3(d)-(e)</w:t>
      </w:r>
      <w:r w:rsidR="00B04115">
        <w:t>.</w:t>
      </w:r>
    </w:p>
  </w:footnote>
  <w:footnote w:id="71">
    <w:p w14:paraId="6FB25A87" w14:textId="77777777" w:rsidR="005776EE" w:rsidRPr="00F553C7" w:rsidRDefault="005776EE" w:rsidP="00E2445E">
      <w:pPr>
        <w:pStyle w:val="Footnote"/>
      </w:pPr>
      <w:r w:rsidRPr="00F553C7">
        <w:rPr>
          <w:rStyle w:val="FootnoteReference"/>
        </w:rPr>
        <w:footnoteRef/>
      </w:r>
      <w:r w:rsidRPr="00F553C7">
        <w:t>OAIC, Chapter 1: APP 1 — Open and transparent management of personal information, APP Guidelines (October 2025), [1.10]-[1.15].</w:t>
      </w:r>
    </w:p>
  </w:footnote>
  <w:footnote w:id="72">
    <w:p w14:paraId="2847DA97" w14:textId="77777777" w:rsidR="005776EE" w:rsidRDefault="005776EE" w:rsidP="00E2445E">
      <w:pPr>
        <w:pStyle w:val="Footnote"/>
      </w:pPr>
      <w:r w:rsidRPr="00F553C7">
        <w:rPr>
          <w:rStyle w:val="FootnoteReference"/>
        </w:rPr>
        <w:footnoteRef/>
      </w:r>
      <w:r w:rsidRPr="00F553C7">
        <w:t>Anti-Money Laundering and Counter-Terrorism Financing Act 2006 (Cth), Part 2 (Customer identification procedures).</w:t>
      </w:r>
    </w:p>
  </w:footnote>
  <w:footnote w:id="73">
    <w:p w14:paraId="33EA1965" w14:textId="77777777" w:rsidR="005776EE" w:rsidRPr="001F3BAF" w:rsidRDefault="005776EE" w:rsidP="001F3BAF">
      <w:pPr>
        <w:pStyle w:val="Footnote"/>
      </w:pPr>
      <w:r w:rsidRPr="001F3BAF">
        <w:rPr>
          <w:rStyle w:val="FootnoteReference"/>
          <w:szCs w:val="16"/>
        </w:rPr>
        <w:footnoteRef/>
      </w:r>
      <w:r w:rsidRPr="001F3BAF">
        <w:t>Privacy Act 1988 (</w:t>
      </w:r>
      <w:proofErr w:type="spellStart"/>
      <w:r w:rsidRPr="001F3BAF">
        <w:t>Cth</w:t>
      </w:r>
      <w:proofErr w:type="spellEnd"/>
      <w:r w:rsidRPr="001F3BAF">
        <w:t>), Schedule 1 (Australian Privacy Principles). The APPs commenced on 12 March 2014, replacing the National Privacy Principles.</w:t>
      </w:r>
    </w:p>
  </w:footnote>
  <w:footnote w:id="74">
    <w:p w14:paraId="36DD1235" w14:textId="3CBC9522" w:rsidR="005776EE" w:rsidRDefault="005776EE" w:rsidP="001F3BAF">
      <w:pPr>
        <w:pStyle w:val="Footnote"/>
      </w:pPr>
      <w:r w:rsidRPr="001F3BAF">
        <w:rPr>
          <w:rStyle w:val="FootnoteReference"/>
          <w:szCs w:val="16"/>
        </w:rPr>
        <w:footnoteRef/>
      </w:r>
      <w:r w:rsidRPr="001F3BAF">
        <w:t xml:space="preserve">OAIC, </w:t>
      </w:r>
      <w:hyperlink r:id="rId20" w:history="1">
        <w:r w:rsidRPr="001F3BAF">
          <w:rPr>
            <w:rStyle w:val="Hyperlink"/>
            <w:i/>
            <w:iCs/>
            <w:szCs w:val="16"/>
          </w:rPr>
          <w:t>Australian Privacy Principles Guidelines</w:t>
        </w:r>
      </w:hyperlink>
      <w:r w:rsidRPr="001F3BAF">
        <w:t xml:space="preserve"> (October 2025), Chapter A (Introduction), [A.1].</w:t>
      </w:r>
    </w:p>
  </w:footnote>
  <w:footnote w:id="75">
    <w:p w14:paraId="5A103EEA" w14:textId="4D82403B" w:rsidR="005776EE" w:rsidRDefault="005776EE" w:rsidP="00424E56">
      <w:pPr>
        <w:pStyle w:val="Footnote"/>
      </w:pPr>
      <w:r>
        <w:rPr>
          <w:rStyle w:val="FootnoteReference"/>
        </w:rPr>
        <w:footnoteRef/>
      </w:r>
      <w:r>
        <w:t xml:space="preserve">OAIC, </w:t>
      </w:r>
      <w:r>
        <w:rPr>
          <w:i/>
          <w:iCs/>
        </w:rPr>
        <w:t>Australian Privacy Principles Guidelines</w:t>
      </w:r>
      <w:r w:rsidR="00F61BCD">
        <w:t>; Key Points (para 1.</w:t>
      </w:r>
      <w:r w:rsidR="00767A1E">
        <w:t>6, 1.7),</w:t>
      </w:r>
      <w:r w:rsidR="00C91A60">
        <w:t xml:space="preserve"> see also para 5.1 – 5.6)</w:t>
      </w:r>
      <w:r w:rsidR="00F553C7">
        <w:t>,</w:t>
      </w:r>
      <w:r>
        <w:t xml:space="preserve"> Chapter A, [A.7]-[A.10]</w:t>
      </w:r>
      <w:r w:rsidR="002C1589">
        <w:t>, Chapter B [B.110</w:t>
      </w:r>
      <w:r w:rsidR="009A35A3">
        <w:t>] – [B.112]</w:t>
      </w:r>
      <w:r>
        <w:t xml:space="preserve"> (explanation of 'reasonable steps' standard).</w:t>
      </w:r>
    </w:p>
  </w:footnote>
  <w:footnote w:id="76">
    <w:p w14:paraId="2D7C43B9" w14:textId="5B9E1B3C" w:rsidR="00394058" w:rsidRDefault="00394058" w:rsidP="00424E56">
      <w:pPr>
        <w:pStyle w:val="Footnote"/>
      </w:pPr>
      <w:r>
        <w:rPr>
          <w:rStyle w:val="FootnoteReference"/>
        </w:rPr>
        <w:footnoteRef/>
      </w:r>
      <w:r w:rsidR="006731BF">
        <w:t>See Australian Cyber Security Centre</w:t>
      </w:r>
      <w:r w:rsidR="009F4826">
        <w:t xml:space="preserve"> (Joint initiative with Australian Signals Directorate)</w:t>
      </w:r>
      <w:r w:rsidR="006731BF">
        <w:t xml:space="preserve"> </w:t>
      </w:r>
      <w:r w:rsidR="006731BF" w:rsidRPr="006731BF">
        <w:rPr>
          <w:i/>
          <w:iCs/>
        </w:rPr>
        <w:t>Small business cyber security guide</w:t>
      </w:r>
      <w:r w:rsidR="006731BF">
        <w:t>.</w:t>
      </w:r>
      <w:r w:rsidR="009F4826">
        <w:t xml:space="preserve"> &lt; </w:t>
      </w:r>
      <w:hyperlink r:id="rId21" w:history="1">
        <w:r w:rsidR="009F4826" w:rsidRPr="008A6682">
          <w:rPr>
            <w:rStyle w:val="Hyperlink"/>
          </w:rPr>
          <w:t>https://www.cyber.gov.au/business-government/small-business-cyber-security/small-business-hub/small-business-cyber-security-guide</w:t>
        </w:r>
      </w:hyperlink>
      <w:r w:rsidR="009F4826">
        <w:t xml:space="preserve"> &gt;</w:t>
      </w:r>
    </w:p>
  </w:footnote>
  <w:footnote w:id="77">
    <w:p w14:paraId="3C4A71AC" w14:textId="6BD677DD" w:rsidR="005776EE" w:rsidRDefault="005776EE" w:rsidP="00924849">
      <w:pPr>
        <w:pStyle w:val="Footnote"/>
      </w:pPr>
      <w:r>
        <w:rPr>
          <w:rStyle w:val="FootnoteReference"/>
        </w:rPr>
        <w:footnoteRef/>
      </w:r>
      <w:r>
        <w:t xml:space="preserve">Australian Privacy Principle 1.2, </w:t>
      </w:r>
    </w:p>
  </w:footnote>
  <w:footnote w:id="78">
    <w:p w14:paraId="0EF7A516" w14:textId="1DC15046" w:rsidR="005776EE" w:rsidRDefault="005776EE" w:rsidP="00924849">
      <w:pPr>
        <w:pStyle w:val="Footnote"/>
      </w:pPr>
      <w:r>
        <w:rPr>
          <w:rStyle w:val="FootnoteReference"/>
        </w:rPr>
        <w:footnoteRef/>
      </w:r>
      <w:r>
        <w:t xml:space="preserve">Australian Privacy Principle 1.3, </w:t>
      </w:r>
    </w:p>
  </w:footnote>
  <w:footnote w:id="79">
    <w:p w14:paraId="4D84E90D" w14:textId="2B233878" w:rsidR="005776EE" w:rsidRDefault="005776EE" w:rsidP="00924849">
      <w:pPr>
        <w:pStyle w:val="Footnote"/>
      </w:pPr>
      <w:r>
        <w:rPr>
          <w:rStyle w:val="FootnoteReference"/>
        </w:rPr>
        <w:footnoteRef/>
      </w:r>
      <w:r>
        <w:t>Australian Privacy Principle 1.4,. The matters that must be included are set out in APP 1.4(a)-(f).</w:t>
      </w:r>
    </w:p>
  </w:footnote>
  <w:footnote w:id="80">
    <w:p w14:paraId="7EED6A11" w14:textId="77777777" w:rsidR="005776EE" w:rsidRDefault="005776EE" w:rsidP="00924849">
      <w:pPr>
        <w:pStyle w:val="Footnote"/>
      </w:pPr>
      <w:r>
        <w:rPr>
          <w:rStyle w:val="FootnoteReference"/>
        </w:rPr>
        <w:footnoteRef/>
      </w:r>
      <w:r>
        <w:t>Privacy and Other Legislation Amendment Act 2024 (Cth), Schedule 1, item 17, inserting new APP 1.4(fa) (automated decision-making disclosure), commencing 10 December 2026.</w:t>
      </w:r>
    </w:p>
  </w:footnote>
  <w:footnote w:id="81">
    <w:p w14:paraId="750AFFEA" w14:textId="013A1A1B" w:rsidR="005776EE" w:rsidRDefault="005776EE" w:rsidP="00924849">
      <w:pPr>
        <w:pStyle w:val="Footnote"/>
      </w:pPr>
      <w:r>
        <w:rPr>
          <w:rStyle w:val="FootnoteReference"/>
        </w:rPr>
        <w:footnoteRef/>
      </w:r>
      <w:r w:rsidRPr="00FA01FE">
        <w:rPr>
          <w:rStyle w:val="FootnoteChar"/>
        </w:rPr>
        <w:t xml:space="preserve">Australian Privacy Principle 3.1, </w:t>
      </w:r>
    </w:p>
  </w:footnote>
  <w:footnote w:id="82">
    <w:p w14:paraId="4208AA05" w14:textId="2D082E5D" w:rsidR="005776EE" w:rsidRDefault="005776EE" w:rsidP="00924849">
      <w:pPr>
        <w:pStyle w:val="Footnote"/>
      </w:pPr>
      <w:r>
        <w:rPr>
          <w:rStyle w:val="FootnoteReference"/>
        </w:rPr>
        <w:footnoteRef/>
      </w:r>
      <w:r>
        <w:t xml:space="preserve">Australian Privacy Principle 3.2, </w:t>
      </w:r>
    </w:p>
  </w:footnote>
  <w:footnote w:id="83">
    <w:p w14:paraId="616F5EF3" w14:textId="2DE7743D" w:rsidR="005776EE" w:rsidRDefault="005776EE" w:rsidP="0019769A">
      <w:pPr>
        <w:pStyle w:val="Footnote"/>
      </w:pPr>
      <w:r>
        <w:rPr>
          <w:rStyle w:val="FootnoteReference"/>
        </w:rPr>
        <w:footnoteRef/>
      </w:r>
      <w:r>
        <w:t>Australian Privacy Principle 3.3, Sensitive information includes health information, biometric information, racial or ethnic origin, political opinions, religious beliefs, sexual orientation, and criminal record.</w:t>
      </w:r>
    </w:p>
  </w:footnote>
  <w:footnote w:id="84">
    <w:p w14:paraId="089A8804" w14:textId="38715534" w:rsidR="005776EE" w:rsidRDefault="005776EE" w:rsidP="0019769A">
      <w:pPr>
        <w:pStyle w:val="Footnote"/>
      </w:pPr>
      <w:r>
        <w:rPr>
          <w:rStyle w:val="FootnoteReference"/>
        </w:rPr>
        <w:footnoteRef/>
      </w:r>
      <w:r>
        <w:t>Australian Privacy Principle 3.4.</w:t>
      </w:r>
    </w:p>
  </w:footnote>
  <w:footnote w:id="85">
    <w:p w14:paraId="2B60BEF9" w14:textId="23630DF5" w:rsidR="005776EE" w:rsidRPr="00E97C88" w:rsidRDefault="005776EE" w:rsidP="00424E56">
      <w:pPr>
        <w:pStyle w:val="Footnote"/>
        <w:rPr>
          <w:szCs w:val="16"/>
        </w:rPr>
      </w:pPr>
      <w:r w:rsidRPr="00E97C88">
        <w:rPr>
          <w:rStyle w:val="FootnoteReference"/>
          <w:szCs w:val="16"/>
        </w:rPr>
        <w:footnoteRef/>
      </w:r>
      <w:r w:rsidRPr="00E97C88">
        <w:rPr>
          <w:szCs w:val="16"/>
        </w:rPr>
        <w:t xml:space="preserve">Australian Privacy Principle 5.1, </w:t>
      </w:r>
    </w:p>
  </w:footnote>
  <w:footnote w:id="86">
    <w:p w14:paraId="398B0ECE" w14:textId="75EC8950" w:rsidR="005776EE" w:rsidRPr="00E97C88" w:rsidRDefault="005776EE" w:rsidP="00424E56">
      <w:pPr>
        <w:pStyle w:val="Footnote"/>
        <w:rPr>
          <w:szCs w:val="16"/>
        </w:rPr>
      </w:pPr>
      <w:r w:rsidRPr="00E97C88">
        <w:rPr>
          <w:rStyle w:val="FootnoteReference"/>
          <w:szCs w:val="16"/>
        </w:rPr>
        <w:footnoteRef/>
      </w:r>
      <w:r w:rsidRPr="00E97C88">
        <w:rPr>
          <w:szCs w:val="16"/>
        </w:rPr>
        <w:t>Australian Privacy Principle 5.2, lists the nine matters that must be notified.</w:t>
      </w:r>
    </w:p>
  </w:footnote>
  <w:footnote w:id="87">
    <w:p w14:paraId="0C3D9645" w14:textId="5B87BDB6" w:rsidR="008155D8" w:rsidRPr="00E97C88" w:rsidRDefault="008155D8" w:rsidP="00424E56">
      <w:pPr>
        <w:pStyle w:val="Footnote"/>
        <w:rPr>
          <w:szCs w:val="16"/>
        </w:rPr>
      </w:pPr>
      <w:r w:rsidRPr="00E97C88">
        <w:rPr>
          <w:rStyle w:val="FootnoteReference"/>
          <w:szCs w:val="16"/>
        </w:rPr>
        <w:footnoteRef/>
      </w:r>
      <w:r w:rsidRPr="00E97C88">
        <w:rPr>
          <w:szCs w:val="16"/>
        </w:rPr>
        <w:t>Cf; Rule 33 of the ASCR</w:t>
      </w:r>
    </w:p>
  </w:footnote>
  <w:footnote w:id="88">
    <w:p w14:paraId="26C3BF17" w14:textId="0E5CBC46" w:rsidR="005776EE" w:rsidRPr="00E97C88" w:rsidRDefault="005776EE" w:rsidP="00424E56">
      <w:pPr>
        <w:pStyle w:val="Footnote"/>
        <w:rPr>
          <w:szCs w:val="16"/>
        </w:rPr>
      </w:pPr>
      <w:r w:rsidRPr="00E97C88">
        <w:rPr>
          <w:rStyle w:val="FootnoteReference"/>
          <w:szCs w:val="16"/>
        </w:rPr>
        <w:footnoteRef/>
      </w:r>
      <w:r w:rsidRPr="00E97C88">
        <w:rPr>
          <w:szCs w:val="16"/>
        </w:rPr>
        <w:t xml:space="preserve">Australian Privacy Principle 6.1, </w:t>
      </w:r>
    </w:p>
  </w:footnote>
  <w:footnote w:id="89">
    <w:p w14:paraId="3E86AF6B" w14:textId="16AF86CC" w:rsidR="005776EE" w:rsidRDefault="005776EE" w:rsidP="00424E56">
      <w:pPr>
        <w:pStyle w:val="Footnote"/>
      </w:pPr>
      <w:r w:rsidRPr="00E97C88">
        <w:rPr>
          <w:rStyle w:val="FootnoteReference"/>
          <w:szCs w:val="16"/>
        </w:rPr>
        <w:footnoteRef/>
      </w:r>
      <w:r w:rsidRPr="00E97C88">
        <w:rPr>
          <w:szCs w:val="16"/>
        </w:rPr>
        <w:t>Australian Privacy Principle 6.2, The permitted situations include: consent; required or authorised by Australian law; enforcement related purpose; necessary to lessen or prevent serious threat; and reasonably necessary for legal proceedings.</w:t>
      </w:r>
    </w:p>
  </w:footnote>
  <w:footnote w:id="90">
    <w:p w14:paraId="50048273" w14:textId="68F3F1A8" w:rsidR="005776EE" w:rsidRDefault="005776EE" w:rsidP="00BC7731">
      <w:pPr>
        <w:pStyle w:val="Footnote"/>
      </w:pPr>
      <w:r>
        <w:rPr>
          <w:rStyle w:val="FootnoteReference"/>
        </w:rPr>
        <w:footnoteRef/>
      </w:r>
      <w:r>
        <w:t>Australian Privacy Principle 11.1.</w:t>
      </w:r>
    </w:p>
  </w:footnote>
  <w:footnote w:id="91">
    <w:p w14:paraId="580D42CD" w14:textId="77777777" w:rsidR="005776EE" w:rsidRDefault="005776EE" w:rsidP="00BC7731">
      <w:pPr>
        <w:pStyle w:val="Footnote"/>
      </w:pPr>
      <w:r>
        <w:rPr>
          <w:rStyle w:val="FootnoteReference"/>
        </w:rPr>
        <w:footnoteRef/>
      </w:r>
      <w:r>
        <w:t xml:space="preserve">OAIC, </w:t>
      </w:r>
      <w:r>
        <w:rPr>
          <w:i/>
          <w:iCs/>
        </w:rPr>
        <w:t>Guide to securing personal information</w:t>
      </w:r>
      <w:r>
        <w:t xml:space="preserve"> (June 2025), Part A (Understanding reasonable steps).</w:t>
      </w:r>
    </w:p>
  </w:footnote>
  <w:footnote w:id="92">
    <w:p w14:paraId="0FC8A830" w14:textId="6F43020E" w:rsidR="005776EE" w:rsidRDefault="005776EE" w:rsidP="00BC7731">
      <w:pPr>
        <w:pStyle w:val="Footnote"/>
      </w:pPr>
      <w:r>
        <w:rPr>
          <w:rStyle w:val="FootnoteReference"/>
        </w:rPr>
        <w:footnoteRef/>
      </w:r>
      <w:r>
        <w:t>Australian Privacy Principle 11.2.</w:t>
      </w:r>
    </w:p>
  </w:footnote>
  <w:footnote w:id="93">
    <w:p w14:paraId="179FAA57" w14:textId="0185E50F" w:rsidR="004253AB" w:rsidRPr="00424E56" w:rsidRDefault="004253AB" w:rsidP="00BC7731">
      <w:pPr>
        <w:pStyle w:val="Footnote"/>
        <w:rPr>
          <w:szCs w:val="16"/>
        </w:rPr>
      </w:pPr>
      <w:r w:rsidRPr="00424E56">
        <w:rPr>
          <w:rStyle w:val="FootnoteReference"/>
          <w:szCs w:val="16"/>
        </w:rPr>
        <w:footnoteRef/>
      </w:r>
      <w:hyperlink r:id="rId22" w:history="1">
        <w:r w:rsidR="00F7792D" w:rsidRPr="00424E56">
          <w:rPr>
            <w:color w:val="0000FF"/>
            <w:szCs w:val="16"/>
            <w:u w:val="single"/>
          </w:rPr>
          <w:t>qls.com.au/content-collections/guides/document-retention-guide</w:t>
        </w:r>
      </w:hyperlink>
    </w:p>
  </w:footnote>
  <w:footnote w:id="94">
    <w:p w14:paraId="1FE8FAA1" w14:textId="7FBC8B7D" w:rsidR="005776EE" w:rsidRPr="00E97C88" w:rsidRDefault="005776EE" w:rsidP="00BC7731">
      <w:pPr>
        <w:pStyle w:val="Footnote"/>
        <w:rPr>
          <w:szCs w:val="16"/>
        </w:rPr>
      </w:pPr>
      <w:r w:rsidRPr="00E97C88">
        <w:rPr>
          <w:rStyle w:val="FootnoteReference"/>
          <w:szCs w:val="16"/>
        </w:rPr>
        <w:footnoteRef/>
      </w:r>
      <w:r w:rsidRPr="00E97C88">
        <w:rPr>
          <w:szCs w:val="16"/>
        </w:rPr>
        <w:t>Australian Privacy Principle 12.1.</w:t>
      </w:r>
    </w:p>
  </w:footnote>
  <w:footnote w:id="95">
    <w:p w14:paraId="47E3A703" w14:textId="614619F5" w:rsidR="005776EE" w:rsidRPr="00E97C88" w:rsidRDefault="005776EE" w:rsidP="00BC7731">
      <w:pPr>
        <w:pStyle w:val="Footnote"/>
        <w:rPr>
          <w:szCs w:val="16"/>
        </w:rPr>
      </w:pPr>
      <w:r w:rsidRPr="00E97C88">
        <w:rPr>
          <w:rStyle w:val="FootnoteReference"/>
          <w:szCs w:val="16"/>
        </w:rPr>
        <w:footnoteRef/>
      </w:r>
      <w:r w:rsidRPr="00E97C88">
        <w:rPr>
          <w:szCs w:val="16"/>
        </w:rPr>
        <w:t>Australian Privacy Principle 12.3, sets out the exceptions permitting refusal of access.</w:t>
      </w:r>
    </w:p>
  </w:footnote>
  <w:footnote w:id="96">
    <w:p w14:paraId="52E3D7F6" w14:textId="0E2C533E" w:rsidR="00712927" w:rsidRPr="00E97C88" w:rsidRDefault="00712927" w:rsidP="00BC7731">
      <w:pPr>
        <w:pStyle w:val="Footnote"/>
        <w:rPr>
          <w:szCs w:val="16"/>
        </w:rPr>
      </w:pPr>
      <w:r w:rsidRPr="00E97C88">
        <w:rPr>
          <w:rStyle w:val="FootnoteReference"/>
          <w:szCs w:val="16"/>
        </w:rPr>
        <w:footnoteRef/>
      </w:r>
      <w:r w:rsidR="00A549F1" w:rsidRPr="00E97C88">
        <w:rPr>
          <w:i/>
          <w:iCs/>
          <w:szCs w:val="16"/>
        </w:rPr>
        <w:t>Wentworth v De Montfort</w:t>
      </w:r>
      <w:r w:rsidR="00A549F1" w:rsidRPr="00E97C88">
        <w:rPr>
          <w:szCs w:val="16"/>
        </w:rPr>
        <w:t> (1988) 15 NSWLR 348</w:t>
      </w:r>
    </w:p>
  </w:footnote>
  <w:footnote w:id="97">
    <w:p w14:paraId="5187FD16" w14:textId="08B1202F" w:rsidR="00AF7020" w:rsidRPr="00E97C88" w:rsidRDefault="00AF7020" w:rsidP="00BC7731">
      <w:pPr>
        <w:pStyle w:val="Footnote"/>
        <w:rPr>
          <w:szCs w:val="16"/>
        </w:rPr>
      </w:pPr>
      <w:r w:rsidRPr="00E97C88">
        <w:rPr>
          <w:rStyle w:val="FootnoteReference"/>
          <w:szCs w:val="16"/>
        </w:rPr>
        <w:footnoteRef/>
      </w:r>
      <w:r w:rsidRPr="00E97C88">
        <w:rPr>
          <w:szCs w:val="16"/>
        </w:rPr>
        <w:t xml:space="preserve">For more information see: QLS Guidance statement </w:t>
      </w:r>
      <w:hyperlink r:id="rId23" w:history="1">
        <w:r w:rsidRPr="00E97C88">
          <w:rPr>
            <w:rStyle w:val="Hyperlink"/>
            <w:szCs w:val="16"/>
          </w:rPr>
          <w:t>No.30 Transfer of files - Queensland Law Society</w:t>
        </w:r>
      </w:hyperlink>
      <w:r w:rsidRPr="00E97C88">
        <w:rPr>
          <w:szCs w:val="16"/>
        </w:rPr>
        <w:t xml:space="preserve">; and </w:t>
      </w:r>
      <w:hyperlink r:id="rId24" w:history="1">
        <w:r w:rsidR="002879D2" w:rsidRPr="00E97C88">
          <w:rPr>
            <w:color w:val="0000FF"/>
            <w:szCs w:val="16"/>
            <w:u w:val="single"/>
          </w:rPr>
          <w:t>Who owns file notes? – Proctor</w:t>
        </w:r>
      </w:hyperlink>
    </w:p>
  </w:footnote>
  <w:footnote w:id="98">
    <w:p w14:paraId="038B0499" w14:textId="2199A3C9" w:rsidR="005776EE" w:rsidRPr="00E97C88" w:rsidRDefault="005776EE" w:rsidP="00BC7731">
      <w:pPr>
        <w:pStyle w:val="Footnote"/>
        <w:rPr>
          <w:szCs w:val="16"/>
        </w:rPr>
      </w:pPr>
      <w:r w:rsidRPr="00E97C88">
        <w:rPr>
          <w:rStyle w:val="FootnoteReference"/>
          <w:szCs w:val="16"/>
        </w:rPr>
        <w:footnoteRef/>
      </w:r>
      <w:r w:rsidRPr="00E97C88">
        <w:rPr>
          <w:szCs w:val="16"/>
        </w:rPr>
        <w:t>Australian Privacy Principle 13.1.</w:t>
      </w:r>
    </w:p>
  </w:footnote>
  <w:footnote w:id="99">
    <w:p w14:paraId="073C0148" w14:textId="444A56D9" w:rsidR="005776EE" w:rsidRDefault="005776EE" w:rsidP="00BC7731">
      <w:pPr>
        <w:pStyle w:val="Footnote"/>
      </w:pPr>
      <w:r w:rsidRPr="00E97C88">
        <w:rPr>
          <w:rStyle w:val="FootnoteReference"/>
          <w:szCs w:val="16"/>
        </w:rPr>
        <w:footnoteRef/>
      </w:r>
      <w:r w:rsidRPr="00E97C88">
        <w:rPr>
          <w:szCs w:val="16"/>
        </w:rPr>
        <w:t>Australian Privacy Principle 13.2.</w:t>
      </w:r>
    </w:p>
  </w:footnote>
  <w:footnote w:id="100">
    <w:p w14:paraId="2409D444" w14:textId="77777777" w:rsidR="005776EE" w:rsidRDefault="005776EE" w:rsidP="00BC7731">
      <w:pPr>
        <w:pStyle w:val="Footnote"/>
      </w:pPr>
      <w:r>
        <w:rPr>
          <w:rStyle w:val="FootnoteReference"/>
        </w:rPr>
        <w:footnoteRef/>
      </w:r>
      <w:r>
        <w:t>Privacy Act 1988 (</w:t>
      </w:r>
      <w:proofErr w:type="spellStart"/>
      <w:r>
        <w:t>Cth</w:t>
      </w:r>
      <w:proofErr w:type="spellEnd"/>
      <w:r>
        <w:t>), s 6C(1), item 2 of the table. A business that is a reporting entity under the AML/CTF Act is taken to be an organisation for the purposes of the Privacy Act.</w:t>
      </w:r>
    </w:p>
  </w:footnote>
  <w:footnote w:id="101">
    <w:p w14:paraId="5AFD25E6" w14:textId="2C099904" w:rsidR="00AD7E03" w:rsidRDefault="00AD7E03" w:rsidP="00BC7731">
      <w:pPr>
        <w:pStyle w:val="Footnote"/>
      </w:pPr>
      <w:r>
        <w:rPr>
          <w:rStyle w:val="FootnoteReference"/>
        </w:rPr>
        <w:footnoteRef/>
      </w:r>
      <w:hyperlink r:id="rId25" w:history="1">
        <w:r w:rsidR="00E97C88" w:rsidRPr="00542E19">
          <w:rPr>
            <w:rStyle w:val="Hyperlink"/>
          </w:rPr>
          <w:t>https://www.oaic.gov.au/privacy/privacy-guidance-for-organisations-and-government-agencies/organisations/privacy-guidance-for-reporting-entities-under-the-anti-money-laundering-and-counter-terrorism-financing-act</w:t>
        </w:r>
      </w:hyperlink>
      <w:r w:rsidR="00E97C88">
        <w:t xml:space="preserve"> </w:t>
      </w:r>
    </w:p>
  </w:footnote>
  <w:footnote w:id="102">
    <w:p w14:paraId="1377A75E" w14:textId="77777777" w:rsidR="005776EE" w:rsidRDefault="005776EE" w:rsidP="00A864F8">
      <w:pPr>
        <w:pStyle w:val="Footnote"/>
      </w:pPr>
      <w:r>
        <w:rPr>
          <w:rStyle w:val="FootnoteReference"/>
        </w:rPr>
        <w:footnoteRef/>
      </w:r>
      <w:r>
        <w:t>Anti-Money Laundering and Counter-Terrorism Financing Act 2006 (Cth), Part 2 (Customer identification procedures), as amended by the Anti-Money Laundering and Counter-Terrorism Financing Amendment Act 2024 (Cth).</w:t>
      </w:r>
    </w:p>
  </w:footnote>
  <w:footnote w:id="103">
    <w:p w14:paraId="312FA046" w14:textId="4FBA0672" w:rsidR="00D434AD" w:rsidRPr="007E650E" w:rsidRDefault="00D434AD" w:rsidP="007E650E">
      <w:pPr>
        <w:pStyle w:val="Footnote"/>
        <w:rPr>
          <w:szCs w:val="16"/>
        </w:rPr>
      </w:pPr>
      <w:r w:rsidRPr="007E650E">
        <w:rPr>
          <w:rStyle w:val="FootnoteReference"/>
          <w:szCs w:val="16"/>
        </w:rPr>
        <w:footnoteRef/>
      </w:r>
      <w:r w:rsidRPr="007E650E">
        <w:rPr>
          <w:szCs w:val="16"/>
        </w:rPr>
        <w:t xml:space="preserve">For detailed information concerning CDD processes and oboarding information see here: </w:t>
      </w:r>
      <w:hyperlink r:id="rId26" w:anchor="Process%20document" w:history="1">
        <w:r w:rsidRPr="007E650E">
          <w:rPr>
            <w:rStyle w:val="Hyperlink"/>
            <w:szCs w:val="16"/>
          </w:rPr>
          <w:t>Legal profession program starter kit: Document library | AUSTRAC</w:t>
        </w:r>
      </w:hyperlink>
    </w:p>
  </w:footnote>
  <w:footnote w:id="104">
    <w:p w14:paraId="705C6F87" w14:textId="77777777" w:rsidR="005776EE" w:rsidRPr="007E650E" w:rsidRDefault="005776EE" w:rsidP="007E650E">
      <w:pPr>
        <w:pStyle w:val="Footnote"/>
        <w:rPr>
          <w:szCs w:val="16"/>
        </w:rPr>
      </w:pPr>
      <w:r w:rsidRPr="007E650E">
        <w:rPr>
          <w:rStyle w:val="FootnoteReference"/>
          <w:szCs w:val="16"/>
        </w:rPr>
        <w:footnoteRef/>
      </w:r>
      <w:r w:rsidRPr="007E650E">
        <w:rPr>
          <w:szCs w:val="16"/>
        </w:rPr>
        <w:t>AUSTRAC, Customer identification: Know your customer (KYC) (Reform guidance).</w:t>
      </w:r>
    </w:p>
  </w:footnote>
  <w:footnote w:id="105">
    <w:p w14:paraId="252F7898" w14:textId="72F294CD" w:rsidR="005776EE" w:rsidRPr="007E650E" w:rsidRDefault="005776EE" w:rsidP="007E650E">
      <w:pPr>
        <w:pStyle w:val="Footnote"/>
        <w:rPr>
          <w:szCs w:val="16"/>
        </w:rPr>
      </w:pPr>
      <w:r w:rsidRPr="007E650E">
        <w:rPr>
          <w:rStyle w:val="FootnoteReference"/>
          <w:szCs w:val="16"/>
        </w:rPr>
        <w:footnoteRef/>
      </w:r>
      <w:r w:rsidRPr="007E650E">
        <w:rPr>
          <w:szCs w:val="16"/>
        </w:rPr>
        <w:t>Australian Privacy Principle 3.3(a), (collection of sensitive information with consent); APP 3.4(a) (collection required or authorised by Australian law).</w:t>
      </w:r>
    </w:p>
  </w:footnote>
  <w:footnote w:id="106">
    <w:p w14:paraId="29321E16" w14:textId="77777777" w:rsidR="005776EE" w:rsidRPr="007E650E" w:rsidRDefault="005776EE" w:rsidP="007E650E">
      <w:pPr>
        <w:pStyle w:val="Footnote"/>
        <w:rPr>
          <w:szCs w:val="16"/>
        </w:rPr>
      </w:pPr>
      <w:r w:rsidRPr="007E650E">
        <w:rPr>
          <w:rStyle w:val="FootnoteReference"/>
          <w:szCs w:val="16"/>
        </w:rPr>
        <w:footnoteRef/>
      </w:r>
      <w:r w:rsidRPr="007E650E">
        <w:rPr>
          <w:szCs w:val="16"/>
        </w:rPr>
        <w:t>OAIC, Chapter 3: APP 3 — Collection of solicited personal information, APP Guidelines (October 2025), [3.35]-[3.40].</w:t>
      </w:r>
    </w:p>
  </w:footnote>
  <w:footnote w:id="107">
    <w:p w14:paraId="02B8F4AF" w14:textId="5FDA619F" w:rsidR="005776EE" w:rsidRPr="007E650E" w:rsidRDefault="005776EE" w:rsidP="007E650E">
      <w:pPr>
        <w:pStyle w:val="Footnote"/>
        <w:rPr>
          <w:szCs w:val="16"/>
        </w:rPr>
      </w:pPr>
      <w:r w:rsidRPr="007E650E">
        <w:rPr>
          <w:rStyle w:val="FootnoteReference"/>
          <w:szCs w:val="16"/>
        </w:rPr>
        <w:footnoteRef/>
      </w:r>
      <w:r w:rsidRPr="007E650E">
        <w:rPr>
          <w:szCs w:val="16"/>
        </w:rPr>
        <w:t>Australian Privacy Principle 2.1</w:t>
      </w:r>
      <w:r w:rsidR="00C676DD" w:rsidRPr="007E650E">
        <w:rPr>
          <w:szCs w:val="16"/>
        </w:rPr>
        <w:t xml:space="preserve"> </w:t>
      </w:r>
      <w:r w:rsidRPr="007E650E">
        <w:rPr>
          <w:szCs w:val="16"/>
        </w:rPr>
        <w:t>(anonymity and pseudonymity option).</w:t>
      </w:r>
    </w:p>
  </w:footnote>
  <w:footnote w:id="108">
    <w:p w14:paraId="0C8F8404" w14:textId="2C2A5616" w:rsidR="005776EE" w:rsidRPr="007E650E" w:rsidRDefault="005776EE" w:rsidP="007E650E">
      <w:pPr>
        <w:pStyle w:val="Footnote"/>
        <w:rPr>
          <w:szCs w:val="16"/>
        </w:rPr>
      </w:pPr>
      <w:r w:rsidRPr="007E650E">
        <w:rPr>
          <w:rStyle w:val="FootnoteReference"/>
          <w:szCs w:val="16"/>
        </w:rPr>
        <w:footnoteRef/>
      </w:r>
      <w:r w:rsidRPr="007E650E">
        <w:rPr>
          <w:szCs w:val="16"/>
        </w:rPr>
        <w:t>Australian Privacy Principle 2.2(b)(exception where required or authorised by Australian law).</w:t>
      </w:r>
    </w:p>
  </w:footnote>
  <w:footnote w:id="109">
    <w:p w14:paraId="78C847E5" w14:textId="77777777" w:rsidR="005776EE" w:rsidRDefault="005776EE" w:rsidP="007E650E">
      <w:pPr>
        <w:pStyle w:val="Footnote"/>
      </w:pPr>
      <w:r w:rsidRPr="007E650E">
        <w:rPr>
          <w:rStyle w:val="FootnoteReference"/>
          <w:szCs w:val="16"/>
        </w:rPr>
        <w:footnoteRef/>
      </w:r>
      <w:r w:rsidRPr="007E650E">
        <w:rPr>
          <w:szCs w:val="16"/>
        </w:rPr>
        <w:t>Anti-Money Laundering and Counter-Terrorism Financing Act 2006 (Cth), s 41 (reports to AUSTRAC) and s 123 (tipping off prohibition).</w:t>
      </w:r>
    </w:p>
  </w:footnote>
  <w:footnote w:id="110">
    <w:p w14:paraId="367B271A" w14:textId="6F355179" w:rsidR="005776EE" w:rsidRPr="007E650E" w:rsidRDefault="005776EE" w:rsidP="007E650E">
      <w:pPr>
        <w:pStyle w:val="Footnote"/>
        <w:rPr>
          <w:szCs w:val="16"/>
        </w:rPr>
      </w:pPr>
      <w:r w:rsidRPr="007E650E">
        <w:rPr>
          <w:rStyle w:val="FootnoteReference"/>
          <w:szCs w:val="16"/>
        </w:rPr>
        <w:footnoteRef/>
      </w:r>
      <w:r w:rsidRPr="007E650E">
        <w:rPr>
          <w:szCs w:val="16"/>
        </w:rPr>
        <w:t>Australian Privacy Principle 6.2(b), (use or disclosure required or authorised by or under an Australian law).</w:t>
      </w:r>
    </w:p>
  </w:footnote>
  <w:footnote w:id="111">
    <w:p w14:paraId="2D97D202" w14:textId="77777777" w:rsidR="005776EE" w:rsidRPr="007E650E" w:rsidRDefault="005776EE" w:rsidP="007E650E">
      <w:pPr>
        <w:pStyle w:val="Footnote"/>
        <w:rPr>
          <w:szCs w:val="16"/>
        </w:rPr>
      </w:pPr>
      <w:r w:rsidRPr="007E650E">
        <w:rPr>
          <w:rStyle w:val="FootnoteReference"/>
          <w:szCs w:val="16"/>
        </w:rPr>
        <w:footnoteRef/>
      </w:r>
      <w:r w:rsidRPr="007E650E">
        <w:rPr>
          <w:szCs w:val="16"/>
        </w:rPr>
        <w:t>Australian Solicitors' Conduct Rules 2012 (Qld), r 9.2.1 (disclosure compelled by law).</w:t>
      </w:r>
    </w:p>
  </w:footnote>
  <w:footnote w:id="112">
    <w:p w14:paraId="5A4F5131" w14:textId="2E9620DA" w:rsidR="00EF3B29" w:rsidRPr="007E650E" w:rsidRDefault="00EF3B29" w:rsidP="007E650E">
      <w:pPr>
        <w:pStyle w:val="Footnote"/>
        <w:rPr>
          <w:szCs w:val="16"/>
        </w:rPr>
      </w:pPr>
      <w:r w:rsidRPr="007E650E">
        <w:rPr>
          <w:rStyle w:val="FootnoteReference"/>
          <w:szCs w:val="16"/>
        </w:rPr>
        <w:footnoteRef/>
      </w:r>
      <w:r w:rsidRPr="007E650E">
        <w:rPr>
          <w:szCs w:val="16"/>
        </w:rPr>
        <w:t xml:space="preserve">See: </w:t>
      </w:r>
      <w:hyperlink r:id="rId27" w:history="1">
        <w:r w:rsidRPr="007E650E">
          <w:rPr>
            <w:rStyle w:val="Hyperlink"/>
            <w:szCs w:val="16"/>
          </w:rPr>
          <w:t xml:space="preserve">20251211_Ethics </w:t>
        </w:r>
        <w:proofErr w:type="spellStart"/>
        <w:r w:rsidRPr="007E650E">
          <w:rPr>
            <w:rStyle w:val="Hyperlink"/>
            <w:szCs w:val="16"/>
          </w:rPr>
          <w:t>Guideline_Balancing_LPP_and_AML_Final</w:t>
        </w:r>
        <w:proofErr w:type="spellEnd"/>
        <w:r w:rsidRPr="007E650E">
          <w:rPr>
            <w:rStyle w:val="Hyperlink"/>
            <w:szCs w:val="16"/>
          </w:rPr>
          <w:t xml:space="preserve"> (Law Institute Victoria).pdf</w:t>
        </w:r>
      </w:hyperlink>
    </w:p>
  </w:footnote>
  <w:footnote w:id="113">
    <w:p w14:paraId="34606E18" w14:textId="77777777" w:rsidR="005776EE" w:rsidRPr="007E650E" w:rsidRDefault="005776EE" w:rsidP="007E650E">
      <w:pPr>
        <w:pStyle w:val="Footnote"/>
        <w:rPr>
          <w:szCs w:val="16"/>
        </w:rPr>
      </w:pPr>
      <w:r w:rsidRPr="007E650E">
        <w:rPr>
          <w:rStyle w:val="FootnoteReference"/>
          <w:szCs w:val="16"/>
        </w:rPr>
        <w:footnoteRef/>
      </w:r>
      <w:r w:rsidRPr="007E650E">
        <w:rPr>
          <w:szCs w:val="16"/>
        </w:rPr>
        <w:t>Anti-Money Laundering and Counter-Terrorism Financing Act 2006 (Cth), s 107 (7-year record retention requirement).</w:t>
      </w:r>
    </w:p>
  </w:footnote>
  <w:footnote w:id="114">
    <w:p w14:paraId="0FBD0C12" w14:textId="50771214" w:rsidR="004A5CD7" w:rsidRPr="007E650E" w:rsidRDefault="004A5CD7" w:rsidP="007E650E">
      <w:pPr>
        <w:pStyle w:val="Footnote"/>
        <w:rPr>
          <w:szCs w:val="16"/>
        </w:rPr>
      </w:pPr>
      <w:r w:rsidRPr="007E650E">
        <w:rPr>
          <w:rStyle w:val="FootnoteReference"/>
          <w:szCs w:val="16"/>
        </w:rPr>
        <w:footnoteRef/>
      </w:r>
      <w:hyperlink r:id="rId28" w:history="1">
        <w:r w:rsidRPr="007E650E">
          <w:rPr>
            <w:color w:val="0000FF"/>
            <w:szCs w:val="16"/>
            <w:u w:val="single"/>
          </w:rPr>
          <w:t>Privacy guidance for reporting entities under the Anti-Money Laundering and Counter-Terrorism Financing Act | OAIC</w:t>
        </w:r>
      </w:hyperlink>
    </w:p>
  </w:footnote>
  <w:footnote w:id="115">
    <w:p w14:paraId="019C739B" w14:textId="02FD5CAA" w:rsidR="00782537" w:rsidRPr="007E650E" w:rsidRDefault="00782537" w:rsidP="007E650E">
      <w:pPr>
        <w:pStyle w:val="Footnote"/>
        <w:rPr>
          <w:szCs w:val="16"/>
        </w:rPr>
      </w:pPr>
      <w:r w:rsidRPr="007E650E">
        <w:rPr>
          <w:rStyle w:val="FootnoteReference"/>
          <w:szCs w:val="16"/>
        </w:rPr>
        <w:footnoteRef/>
      </w:r>
      <w:hyperlink r:id="rId29" w:history="1">
        <w:r w:rsidRPr="007E650E">
          <w:rPr>
            <w:color w:val="0000FF"/>
            <w:szCs w:val="16"/>
            <w:u w:val="single"/>
          </w:rPr>
          <w:t>MPR Version 6 Guidance Note #2: Verification of Identity</w:t>
        </w:r>
      </w:hyperlink>
      <w:r w:rsidR="002D1317" w:rsidRPr="007E650E">
        <w:rPr>
          <w:szCs w:val="16"/>
        </w:rPr>
        <w:t xml:space="preserve">; </w:t>
      </w:r>
      <w:hyperlink r:id="rId30" w:history="1">
        <w:r w:rsidR="002D1317" w:rsidRPr="007E650E">
          <w:rPr>
            <w:rStyle w:val="Hyperlink"/>
            <w:szCs w:val="16"/>
          </w:rPr>
          <w:t>ARNECC Model Participation Rules Guidance Notes #5</w:t>
        </w:r>
      </w:hyperlink>
      <w:r w:rsidR="009430A2" w:rsidRPr="007E650E">
        <w:rPr>
          <w:szCs w:val="16"/>
        </w:rPr>
        <w:t xml:space="preserve"> (retention of evidence).</w:t>
      </w:r>
    </w:p>
  </w:footnote>
  <w:footnote w:id="116">
    <w:p w14:paraId="28BFA187" w14:textId="4CD89F9A" w:rsidR="00671F80" w:rsidRDefault="00671F80" w:rsidP="007E650E">
      <w:pPr>
        <w:pStyle w:val="Footnote"/>
      </w:pPr>
      <w:r w:rsidRPr="007E650E">
        <w:rPr>
          <w:rStyle w:val="FootnoteReference"/>
          <w:szCs w:val="16"/>
        </w:rPr>
        <w:footnoteRef/>
      </w:r>
      <w:hyperlink r:id="rId31" w:history="1">
        <w:r w:rsidRPr="007E650E">
          <w:rPr>
            <w:rStyle w:val="Hyperlink"/>
            <w:szCs w:val="16"/>
          </w:rPr>
          <w:t>LEGAL PROFESSION ACT 2007 - SECT 713A Destruction of client documents</w:t>
        </w:r>
      </w:hyperlink>
      <w:r w:rsidRPr="007E650E">
        <w:rPr>
          <w:szCs w:val="16"/>
        </w:rPr>
        <w:t xml:space="preserve"> – note that this provision is specific to Queensland, arising – in part – </w:t>
      </w:r>
      <w:r w:rsidR="00B20C09" w:rsidRPr="007E650E">
        <w:rPr>
          <w:szCs w:val="16"/>
        </w:rPr>
        <w:t>from</w:t>
      </w:r>
      <w:r w:rsidRPr="007E650E">
        <w:rPr>
          <w:szCs w:val="16"/>
        </w:rPr>
        <w:t xml:space="preserve"> the different </w:t>
      </w:r>
      <w:r w:rsidR="00607238" w:rsidRPr="007E650E">
        <w:rPr>
          <w:szCs w:val="16"/>
        </w:rPr>
        <w:t>legislative mechanisms by which they are created in this state as compared to the Uniform Law jurisdictions.</w:t>
      </w:r>
      <w:r w:rsidR="00607238">
        <w:t xml:space="preserve"> </w:t>
      </w:r>
    </w:p>
  </w:footnote>
  <w:footnote w:id="117">
    <w:p w14:paraId="25AE74ED" w14:textId="1D92FA04" w:rsidR="005776EE" w:rsidRDefault="005776EE" w:rsidP="0089488B">
      <w:pPr>
        <w:pStyle w:val="Footnote"/>
      </w:pPr>
      <w:r>
        <w:rPr>
          <w:rStyle w:val="FootnoteReference"/>
        </w:rPr>
        <w:footnoteRef/>
      </w:r>
      <w:r>
        <w:t xml:space="preserve">Australian Privacy Principle 1.3, </w:t>
      </w:r>
    </w:p>
  </w:footnote>
  <w:footnote w:id="118">
    <w:p w14:paraId="30C85FFF" w14:textId="2A8E2CA4" w:rsidR="005776EE" w:rsidRDefault="005776EE" w:rsidP="0089488B">
      <w:pPr>
        <w:pStyle w:val="Footnote"/>
      </w:pPr>
      <w:r>
        <w:rPr>
          <w:rStyle w:val="FootnoteReference"/>
        </w:rPr>
        <w:footnoteRef/>
      </w:r>
      <w:r>
        <w:t xml:space="preserve">Australian Privacy Principle 1.4, </w:t>
      </w:r>
    </w:p>
  </w:footnote>
  <w:footnote w:id="119">
    <w:p w14:paraId="12178072" w14:textId="18F37415" w:rsidR="005776EE" w:rsidRDefault="005776EE" w:rsidP="0034363C">
      <w:pPr>
        <w:pStyle w:val="Footnote"/>
      </w:pPr>
      <w:r>
        <w:rPr>
          <w:rStyle w:val="FootnoteReference"/>
        </w:rPr>
        <w:footnoteRef/>
      </w:r>
      <w:r w:rsidRPr="0034363C">
        <w:rPr>
          <w:i/>
          <w:iCs/>
        </w:rPr>
        <w:t>Privacy and Other Legislation Amendment Act 2024</w:t>
      </w:r>
      <w:r>
        <w:t xml:space="preserve"> (Cth), Schedule 1, item 17, inserting new APP 1.4(fa), commencing 10 December 2026.</w:t>
      </w:r>
      <w:r w:rsidR="00F97260">
        <w:t xml:space="preserve"> </w:t>
      </w:r>
    </w:p>
  </w:footnote>
  <w:footnote w:id="120">
    <w:p w14:paraId="2AA761D8" w14:textId="77777777" w:rsidR="005776EE" w:rsidRDefault="005776EE" w:rsidP="006E1E0F">
      <w:pPr>
        <w:pStyle w:val="Footnote"/>
      </w:pPr>
      <w:r>
        <w:rPr>
          <w:rStyle w:val="FootnoteReference"/>
        </w:rPr>
        <w:footnoteRef/>
      </w:r>
      <w:r>
        <w:t xml:space="preserve">OAIC, </w:t>
      </w:r>
      <w:r>
        <w:rPr>
          <w:i/>
          <w:iCs/>
        </w:rPr>
        <w:t>Guide to developing an APP privacy policy</w:t>
      </w:r>
      <w:r>
        <w:t xml:space="preserve"> (September 2024), Part 3: Making your APP privacy policy available.</w:t>
      </w:r>
    </w:p>
  </w:footnote>
  <w:footnote w:id="121">
    <w:p w14:paraId="7261596F" w14:textId="6B8373BC" w:rsidR="005776EE" w:rsidRDefault="005776EE" w:rsidP="006E1E0F">
      <w:pPr>
        <w:pStyle w:val="Footnote"/>
      </w:pPr>
      <w:r>
        <w:rPr>
          <w:rStyle w:val="FootnoteReference"/>
        </w:rPr>
        <w:footnoteRef/>
      </w:r>
      <w:r>
        <w:t>Australian Privacy Principle 1.5, (policy must be available free of charge and in appropriate form).</w:t>
      </w:r>
    </w:p>
  </w:footnote>
  <w:footnote w:id="122">
    <w:p w14:paraId="1BB0D97C" w14:textId="77777777" w:rsidR="005776EE" w:rsidRDefault="005776EE" w:rsidP="006E1E0F">
      <w:pPr>
        <w:pStyle w:val="Footnote"/>
      </w:pPr>
      <w:r>
        <w:rPr>
          <w:rStyle w:val="FootnoteReference"/>
        </w:rPr>
        <w:footnoteRef/>
      </w:r>
      <w:r>
        <w:t xml:space="preserve">OAIC, </w:t>
      </w:r>
      <w:r>
        <w:rPr>
          <w:i/>
          <w:iCs/>
        </w:rPr>
        <w:t>Chapter 1: APP 1 — Open and transparent management of personal information</w:t>
      </w:r>
      <w:r>
        <w:t>, APP Guidelines (October 2025), [1.50]-[1.55] (keeping the policy up to date).</w:t>
      </w:r>
    </w:p>
  </w:footnote>
  <w:footnote w:id="123">
    <w:p w14:paraId="6A941BB9" w14:textId="54BFB507" w:rsidR="005776EE" w:rsidRDefault="005776EE" w:rsidP="00D25901">
      <w:pPr>
        <w:pStyle w:val="Footnote"/>
      </w:pPr>
      <w:r>
        <w:rPr>
          <w:rStyle w:val="FootnoteReference"/>
        </w:rPr>
        <w:footnoteRef/>
      </w:r>
      <w:r>
        <w:t>Australian Privacy Principle 5.1.</w:t>
      </w:r>
    </w:p>
  </w:footnote>
  <w:footnote w:id="124">
    <w:p w14:paraId="4EF87274" w14:textId="41E119C7" w:rsidR="005776EE" w:rsidRDefault="005776EE" w:rsidP="00D25901">
      <w:pPr>
        <w:pStyle w:val="Footnote"/>
      </w:pPr>
      <w:r>
        <w:rPr>
          <w:rStyle w:val="FootnoteReference"/>
        </w:rPr>
        <w:footnoteRef/>
      </w:r>
      <w:r>
        <w:t>Australian Privacy Principle 5.2, lists the nine matters that must be notified.</w:t>
      </w:r>
    </w:p>
  </w:footnote>
  <w:footnote w:id="125">
    <w:p w14:paraId="00F5A680" w14:textId="77777777" w:rsidR="005776EE" w:rsidRDefault="005776EE" w:rsidP="00905DF3">
      <w:pPr>
        <w:pStyle w:val="Footnote"/>
      </w:pPr>
      <w:r>
        <w:rPr>
          <w:rStyle w:val="FootnoteReference"/>
        </w:rPr>
        <w:footnoteRef/>
      </w:r>
      <w:r>
        <w:t xml:space="preserve">OAIC, </w:t>
      </w:r>
      <w:r>
        <w:rPr>
          <w:i/>
          <w:iCs/>
        </w:rPr>
        <w:t>Chapter 5: APP 5 — Notification of the collection of personal information</w:t>
      </w:r>
      <w:r>
        <w:t>, APP Guidelines (October 2025), [5.1]-[5.5] (timing of notification).</w:t>
      </w:r>
    </w:p>
  </w:footnote>
  <w:footnote w:id="126">
    <w:p w14:paraId="6B012722" w14:textId="77777777" w:rsidR="005776EE" w:rsidRDefault="005776EE" w:rsidP="002E39E6">
      <w:pPr>
        <w:pStyle w:val="Footnote"/>
      </w:pPr>
      <w:r>
        <w:rPr>
          <w:rStyle w:val="FootnoteReference"/>
        </w:rPr>
        <w:footnoteRef/>
      </w:r>
      <w:r>
        <w:t>OAIC, Privacy management framework: enabling compliance and encouraging good practice (May 2025), Step 2: Establish a personal information inventory.</w:t>
      </w:r>
    </w:p>
  </w:footnote>
  <w:footnote w:id="127">
    <w:p w14:paraId="1A4A2FA5" w14:textId="656E0F6E" w:rsidR="005776EE" w:rsidRPr="00961653" w:rsidRDefault="005776EE" w:rsidP="00961653">
      <w:pPr>
        <w:pStyle w:val="Footnote"/>
        <w:rPr>
          <w:szCs w:val="16"/>
        </w:rPr>
      </w:pPr>
      <w:r w:rsidRPr="00961653">
        <w:rPr>
          <w:rStyle w:val="FootnoteReference"/>
          <w:szCs w:val="16"/>
        </w:rPr>
        <w:footnoteRef/>
      </w:r>
      <w:r w:rsidRPr="00961653">
        <w:rPr>
          <w:szCs w:val="16"/>
        </w:rPr>
        <w:t>Australian Privacy Principle 11.</w:t>
      </w:r>
      <w:r w:rsidR="00C44982" w:rsidRPr="00961653">
        <w:rPr>
          <w:szCs w:val="16"/>
        </w:rPr>
        <w:t xml:space="preserve"> See: </w:t>
      </w:r>
      <w:hyperlink r:id="rId32" w:history="1">
        <w:r w:rsidR="00C44982" w:rsidRPr="00961653">
          <w:rPr>
            <w:rStyle w:val="Hyperlink"/>
            <w:szCs w:val="16"/>
          </w:rPr>
          <w:t>Chapter 11: Australian Privacy Principle 11 — Security of personal information</w:t>
        </w:r>
      </w:hyperlink>
      <w:r w:rsidR="00C44982" w:rsidRPr="00961653">
        <w:rPr>
          <w:szCs w:val="16"/>
        </w:rPr>
        <w:t xml:space="preserve"> paragraphs 11.29 et seq.</w:t>
      </w:r>
    </w:p>
  </w:footnote>
  <w:footnote w:id="128">
    <w:p w14:paraId="202E1076" w14:textId="77777777" w:rsidR="003D4DE7" w:rsidRPr="00961653" w:rsidRDefault="003D4DE7" w:rsidP="00961653">
      <w:pPr>
        <w:pStyle w:val="Footnote"/>
        <w:rPr>
          <w:szCs w:val="16"/>
        </w:rPr>
      </w:pPr>
      <w:r w:rsidRPr="00961653">
        <w:rPr>
          <w:rStyle w:val="FootnoteReference"/>
          <w:szCs w:val="16"/>
        </w:rPr>
        <w:footnoteRef/>
      </w:r>
      <w:r w:rsidRPr="00961653">
        <w:rPr>
          <w:szCs w:val="16"/>
        </w:rPr>
        <w:t>Anti-Money Laundering and Counter-Terrorism Financing Act 2006 (Cth), s 107 (7-year record retention requirement).</w:t>
      </w:r>
    </w:p>
  </w:footnote>
  <w:footnote w:id="129">
    <w:p w14:paraId="223A5171" w14:textId="77777777" w:rsidR="003D4DE7" w:rsidRPr="00961653" w:rsidRDefault="003D4DE7" w:rsidP="00961653">
      <w:pPr>
        <w:pStyle w:val="Footnote"/>
        <w:rPr>
          <w:szCs w:val="16"/>
        </w:rPr>
      </w:pPr>
      <w:r w:rsidRPr="00961653">
        <w:rPr>
          <w:rStyle w:val="FootnoteReference"/>
          <w:szCs w:val="16"/>
        </w:rPr>
        <w:footnoteRef/>
      </w:r>
      <w:r w:rsidRPr="00961653">
        <w:rPr>
          <w:szCs w:val="16"/>
        </w:rPr>
        <w:t>Legal Profession Act 2007 (Qld), s 261(2)(d) (retention of trust records) and Legal Profession Regulation 2017 (Qld), Reg 59 2(a) (See also s 44(3)(d)) – from finalisation of the matter.</w:t>
      </w:r>
    </w:p>
  </w:footnote>
  <w:footnote w:id="130">
    <w:p w14:paraId="4C1F0C1C" w14:textId="2D6FB97B" w:rsidR="00002D7C" w:rsidRPr="00961653" w:rsidRDefault="00002D7C" w:rsidP="00961653">
      <w:pPr>
        <w:pStyle w:val="Footnote"/>
        <w:rPr>
          <w:szCs w:val="16"/>
        </w:rPr>
      </w:pPr>
      <w:r w:rsidRPr="00961653">
        <w:rPr>
          <w:rStyle w:val="FootnoteReference"/>
          <w:szCs w:val="16"/>
        </w:rPr>
        <w:footnoteRef/>
      </w:r>
      <w:r w:rsidRPr="00961653">
        <w:rPr>
          <w:szCs w:val="16"/>
        </w:rPr>
        <w:t>Anti-Money Laundering and Counter-Terrorism Financing Act 2006 (Cth), s 111</w:t>
      </w:r>
    </w:p>
  </w:footnote>
  <w:footnote w:id="131">
    <w:p w14:paraId="325315F9" w14:textId="77777777" w:rsidR="003D4DE7" w:rsidRPr="00961653" w:rsidRDefault="003D4DE7" w:rsidP="00961653">
      <w:pPr>
        <w:pStyle w:val="Footnote"/>
        <w:rPr>
          <w:szCs w:val="16"/>
        </w:rPr>
      </w:pPr>
      <w:r w:rsidRPr="00961653">
        <w:rPr>
          <w:rStyle w:val="FootnoteReference"/>
          <w:szCs w:val="16"/>
        </w:rPr>
        <w:footnoteRef/>
      </w:r>
      <w:r w:rsidRPr="00961653">
        <w:rPr>
          <w:szCs w:val="16"/>
        </w:rPr>
        <w:t>Limitation of Actions Act 1974 (Qld), ss 10, 10A (6-year limitation period for contract and tort claims); s 11 (12-year limitation period for claims on deeds).</w:t>
      </w:r>
    </w:p>
  </w:footnote>
  <w:footnote w:id="132">
    <w:p w14:paraId="387EB498" w14:textId="77777777" w:rsidR="003D4DE7" w:rsidRDefault="003D4DE7" w:rsidP="00961653">
      <w:pPr>
        <w:pStyle w:val="Footnote"/>
      </w:pPr>
      <w:r w:rsidRPr="00961653">
        <w:rPr>
          <w:rStyle w:val="FootnoteReference"/>
          <w:szCs w:val="16"/>
        </w:rPr>
        <w:footnoteRef/>
      </w:r>
      <w:r w:rsidRPr="00961653">
        <w:rPr>
          <w:szCs w:val="16"/>
        </w:rPr>
        <w:t xml:space="preserve">Queensland Law Society, </w:t>
      </w:r>
      <w:hyperlink r:id="rId33" w:history="1">
        <w:r w:rsidRPr="00961653">
          <w:rPr>
            <w:color w:val="0000FF"/>
            <w:szCs w:val="16"/>
            <w:u w:val="single"/>
          </w:rPr>
          <w:t>qls.com.au/content-collections/guides/document-retention-guide</w:t>
        </w:r>
      </w:hyperlink>
    </w:p>
  </w:footnote>
  <w:footnote w:id="133">
    <w:p w14:paraId="7DDB6C3C" w14:textId="77777777" w:rsidR="005776EE" w:rsidRDefault="005776EE" w:rsidP="00845AC5">
      <w:pPr>
        <w:pStyle w:val="Footnote"/>
      </w:pPr>
      <w:r>
        <w:rPr>
          <w:rStyle w:val="FootnoteReference"/>
        </w:rPr>
        <w:footnoteRef/>
      </w:r>
      <w:r>
        <w:t xml:space="preserve">OAIC, </w:t>
      </w:r>
      <w:r>
        <w:rPr>
          <w:i/>
          <w:iCs/>
        </w:rPr>
        <w:t>Guide to securing personal information</w:t>
      </w:r>
      <w:r>
        <w:t xml:space="preserve"> (June 2025), Part F: Destruction and de-identification.</w:t>
      </w:r>
    </w:p>
  </w:footnote>
  <w:footnote w:id="134">
    <w:p w14:paraId="65D441A4" w14:textId="0975BAED" w:rsidR="005776EE" w:rsidRDefault="005776EE" w:rsidP="00845AC5">
      <w:pPr>
        <w:pStyle w:val="Footnote"/>
      </w:pPr>
      <w:r>
        <w:rPr>
          <w:rStyle w:val="FootnoteReference"/>
        </w:rPr>
        <w:footnoteRef/>
      </w:r>
      <w:r>
        <w:t>Australian Privacy Principle 10.1.</w:t>
      </w:r>
    </w:p>
  </w:footnote>
  <w:footnote w:id="135">
    <w:p w14:paraId="2D50BC2D" w14:textId="419A7DB0" w:rsidR="005776EE" w:rsidRDefault="005776EE" w:rsidP="00845AC5">
      <w:pPr>
        <w:pStyle w:val="Footnote"/>
      </w:pPr>
      <w:r>
        <w:rPr>
          <w:rStyle w:val="FootnoteReference"/>
        </w:rPr>
        <w:footnoteRef/>
      </w:r>
      <w:r>
        <w:t>Australian Privacy Principle 8.1.</w:t>
      </w:r>
    </w:p>
  </w:footnote>
  <w:footnote w:id="136">
    <w:p w14:paraId="0D4FC88B" w14:textId="77777777" w:rsidR="005776EE" w:rsidRDefault="005776EE" w:rsidP="00845AC5">
      <w:pPr>
        <w:pStyle w:val="Footnote"/>
      </w:pPr>
      <w:r>
        <w:rPr>
          <w:rStyle w:val="FootnoteReference"/>
        </w:rPr>
        <w:footnoteRef/>
      </w:r>
      <w:r>
        <w:t>OAIC, Chapter 8: APP 8 — Cross-border disclosure of personal information, APP Guidelines (October 2025), [8.1]-[8.10].</w:t>
      </w:r>
    </w:p>
  </w:footnote>
  <w:footnote w:id="137">
    <w:p w14:paraId="48CD26D5" w14:textId="77777777" w:rsidR="005776EE" w:rsidRDefault="005776EE" w:rsidP="00845AC5">
      <w:pPr>
        <w:pStyle w:val="Footnote"/>
      </w:pPr>
      <w:r>
        <w:rPr>
          <w:rStyle w:val="FootnoteReference"/>
        </w:rPr>
        <w:footnoteRef/>
      </w:r>
      <w:r>
        <w:t>Privacy Act 1988 (Cth), s 16C (accountability for acts of overseas recipients).</w:t>
      </w:r>
    </w:p>
  </w:footnote>
  <w:footnote w:id="138">
    <w:p w14:paraId="3CC73907" w14:textId="77777777" w:rsidR="005776EE" w:rsidRDefault="005776EE" w:rsidP="00DA1509">
      <w:pPr>
        <w:pStyle w:val="Footnote"/>
      </w:pPr>
      <w:r>
        <w:rPr>
          <w:rStyle w:val="FootnoteReference"/>
        </w:rPr>
        <w:footnoteRef/>
      </w:r>
      <w:r>
        <w:t>Anti-Money Laundering and Counter-Terrorism Financing Amendment Act 2024 (Cth), Schedule 1, commencing 1 July 2026.</w:t>
      </w:r>
    </w:p>
  </w:footnote>
  <w:footnote w:id="139">
    <w:p w14:paraId="41E3A2BA" w14:textId="77777777" w:rsidR="005776EE" w:rsidRDefault="005776EE" w:rsidP="00A46C4C">
      <w:pPr>
        <w:pStyle w:val="Footnote"/>
      </w:pPr>
      <w:r>
        <w:rPr>
          <w:rStyle w:val="FootnoteReference"/>
        </w:rPr>
        <w:footnoteRef/>
      </w:r>
      <w:r>
        <w:t>OAIC, Privacy management framework: enabling compliance and encouraging good practice (May 2025), Step 1: Embed a culture of privacy.</w:t>
      </w:r>
    </w:p>
  </w:footnote>
  <w:footnote w:id="140">
    <w:p w14:paraId="54E68399" w14:textId="1C89F415" w:rsidR="005776EE" w:rsidRDefault="005776EE" w:rsidP="0021322E">
      <w:pPr>
        <w:pStyle w:val="Footnote"/>
      </w:pPr>
      <w:r>
        <w:rPr>
          <w:rStyle w:val="FootnoteReference"/>
        </w:rPr>
        <w:footnoteRef/>
      </w:r>
      <w:r>
        <w:t>Australian Privacy Principle 1.2.</w:t>
      </w:r>
    </w:p>
  </w:footnote>
  <w:footnote w:id="141">
    <w:p w14:paraId="2A53701B" w14:textId="77777777" w:rsidR="005776EE" w:rsidRDefault="005776EE" w:rsidP="0021322E">
      <w:pPr>
        <w:pStyle w:val="Footnote"/>
      </w:pPr>
      <w:r>
        <w:rPr>
          <w:rStyle w:val="FootnoteReference"/>
        </w:rPr>
        <w:footnoteRef/>
      </w:r>
      <w:r>
        <w:t xml:space="preserve">OAIC, </w:t>
      </w:r>
      <w:r>
        <w:rPr>
          <w:i/>
          <w:iCs/>
        </w:rPr>
        <w:t>Privacy management framework</w:t>
      </w:r>
      <w:r>
        <w:t xml:space="preserve"> (May 2025), Step 3: Develop internal handling practices.</w:t>
      </w:r>
    </w:p>
  </w:footnote>
  <w:footnote w:id="142">
    <w:p w14:paraId="5E008862" w14:textId="18F99E9A" w:rsidR="005776EE" w:rsidRDefault="005776EE" w:rsidP="00780C58">
      <w:pPr>
        <w:pStyle w:val="Footnote"/>
      </w:pPr>
      <w:r>
        <w:rPr>
          <w:rStyle w:val="FootnoteReference"/>
        </w:rPr>
        <w:footnoteRef/>
      </w:r>
      <w:r>
        <w:t>Australian Privacy Principle 11.1</w:t>
      </w:r>
      <w:r w:rsidR="000F00B7">
        <w:t>, ASCR R 4.1</w:t>
      </w:r>
    </w:p>
  </w:footnote>
  <w:footnote w:id="143">
    <w:p w14:paraId="557D09DE" w14:textId="77777777" w:rsidR="005776EE" w:rsidRDefault="005776EE" w:rsidP="00780C58">
      <w:pPr>
        <w:pStyle w:val="Footnote"/>
      </w:pPr>
      <w:r>
        <w:rPr>
          <w:rStyle w:val="FootnoteReference"/>
        </w:rPr>
        <w:footnoteRef/>
      </w:r>
      <w:r>
        <w:t xml:space="preserve">OAIC, </w:t>
      </w:r>
      <w:r>
        <w:rPr>
          <w:i/>
          <w:iCs/>
        </w:rPr>
        <w:t>Guide to securing personal information</w:t>
      </w:r>
      <w:r>
        <w:t xml:space="preserve"> (June 2025), Part A: Understanding reasonable steps to protect personal information.</w:t>
      </w:r>
    </w:p>
  </w:footnote>
  <w:footnote w:id="144">
    <w:p w14:paraId="792863F3" w14:textId="77777777" w:rsidR="005776EE" w:rsidRDefault="005776EE" w:rsidP="00780C58">
      <w:pPr>
        <w:pStyle w:val="Footnote"/>
      </w:pPr>
      <w:r>
        <w:rPr>
          <w:rStyle w:val="FootnoteReference"/>
        </w:rPr>
        <w:footnoteRef/>
      </w:r>
      <w:r>
        <w:t xml:space="preserve">OAIC, </w:t>
      </w:r>
      <w:r>
        <w:rPr>
          <w:i/>
          <w:iCs/>
        </w:rPr>
        <w:t>Guide to securing personal information</w:t>
      </w:r>
      <w:r>
        <w:t xml:space="preserve"> (June 2025), Part C: Governance — establish clear responsibility.</w:t>
      </w:r>
    </w:p>
  </w:footnote>
  <w:footnote w:id="145">
    <w:p w14:paraId="1D8F5CE9" w14:textId="77777777" w:rsidR="005776EE" w:rsidRDefault="005776EE" w:rsidP="00780C58">
      <w:pPr>
        <w:pStyle w:val="Footnote"/>
      </w:pPr>
      <w:r>
        <w:rPr>
          <w:rStyle w:val="FootnoteReference"/>
        </w:rPr>
        <w:footnoteRef/>
      </w:r>
      <w:r>
        <w:t xml:space="preserve">Australian Cyber Security Centre, </w:t>
      </w:r>
      <w:r>
        <w:rPr>
          <w:i/>
          <w:iCs/>
        </w:rPr>
        <w:t>Essential Eight Maturity Model</w:t>
      </w:r>
      <w:r>
        <w:t xml:space="preserve"> (November 2023), available at &lt;https://www.cyber.gov.au/resources-business-and-government/essential-cyber-security/essential-eight&gt;.</w:t>
      </w:r>
    </w:p>
  </w:footnote>
  <w:footnote w:id="146">
    <w:p w14:paraId="1FEC2565" w14:textId="3393A20C" w:rsidR="005776EE" w:rsidRDefault="005776EE" w:rsidP="00780C58">
      <w:pPr>
        <w:pStyle w:val="Footnote"/>
      </w:pPr>
      <w:r>
        <w:rPr>
          <w:rStyle w:val="FootnoteReference"/>
        </w:rPr>
        <w:footnoteRef/>
      </w:r>
      <w:r>
        <w:t xml:space="preserve">OAIC, </w:t>
      </w:r>
      <w:r>
        <w:rPr>
          <w:i/>
          <w:iCs/>
        </w:rPr>
        <w:t>Guide to securing personal information</w:t>
      </w:r>
      <w:r>
        <w:t xml:space="preserve"> (June 2025), Part D: ICT security</w:t>
      </w:r>
      <w:r w:rsidR="00564A3A">
        <w:t xml:space="preserve">; See also </w:t>
      </w:r>
      <w:hyperlink r:id="rId34" w:history="1">
        <w:r w:rsidR="00564A3A" w:rsidRPr="00564A3A">
          <w:rPr>
            <w:rStyle w:val="Hyperlink"/>
          </w:rPr>
          <w:t>Small business cyber security guide | Cyber.gov.au</w:t>
        </w:r>
      </w:hyperlink>
    </w:p>
  </w:footnote>
  <w:footnote w:id="147">
    <w:p w14:paraId="3BDCEB4A" w14:textId="322B68B2" w:rsidR="00417F84" w:rsidRPr="0021322E" w:rsidRDefault="00417F84" w:rsidP="0021322E">
      <w:pPr>
        <w:pStyle w:val="Footnote"/>
        <w:rPr>
          <w:szCs w:val="16"/>
        </w:rPr>
      </w:pPr>
      <w:r w:rsidRPr="0021322E">
        <w:rPr>
          <w:rStyle w:val="FootnoteReference"/>
          <w:szCs w:val="16"/>
        </w:rPr>
        <w:footnoteRef/>
      </w:r>
      <w:r w:rsidRPr="0021322E">
        <w:rPr>
          <w:szCs w:val="16"/>
        </w:rPr>
        <w:t xml:space="preserve">(Password selection and use) : </w:t>
      </w:r>
      <w:hyperlink r:id="rId35" w:history="1">
        <w:r w:rsidRPr="0021322E">
          <w:rPr>
            <w:color w:val="0000FF"/>
            <w:szCs w:val="16"/>
            <w:u w:val="single"/>
          </w:rPr>
          <w:t>qls.com.au/content-collections/template/qls-password-protection-policy-template</w:t>
        </w:r>
      </w:hyperlink>
      <w:r w:rsidRPr="0021322E">
        <w:rPr>
          <w:szCs w:val="16"/>
        </w:rPr>
        <w:t>,</w:t>
      </w:r>
      <w:r w:rsidR="00E675FD" w:rsidRPr="0021322E">
        <w:rPr>
          <w:szCs w:val="16"/>
        </w:rPr>
        <w:t xml:space="preserve"> (multi factor authentication)</w:t>
      </w:r>
      <w:r w:rsidRPr="0021322E">
        <w:rPr>
          <w:szCs w:val="16"/>
        </w:rPr>
        <w:t xml:space="preserve"> </w:t>
      </w:r>
      <w:hyperlink r:id="rId36" w:history="1">
        <w:r w:rsidRPr="0021322E">
          <w:rPr>
            <w:rStyle w:val="Hyperlink"/>
            <w:szCs w:val="16"/>
          </w:rPr>
          <w:t>qls.com.au/content-collections/guides/multi-factor-authentication-guide</w:t>
        </w:r>
      </w:hyperlink>
    </w:p>
  </w:footnote>
  <w:footnote w:id="148">
    <w:p w14:paraId="416369DC" w14:textId="77777777" w:rsidR="005776EE" w:rsidRDefault="005776EE" w:rsidP="0021322E">
      <w:pPr>
        <w:pStyle w:val="Footnote"/>
      </w:pPr>
      <w:r w:rsidRPr="0021322E">
        <w:rPr>
          <w:rStyle w:val="FootnoteReference"/>
          <w:szCs w:val="16"/>
        </w:rPr>
        <w:footnoteRef/>
      </w:r>
      <w:r w:rsidRPr="0021322E">
        <w:rPr>
          <w:szCs w:val="16"/>
        </w:rPr>
        <w:t xml:space="preserve">OAIC, </w:t>
      </w:r>
      <w:r w:rsidRPr="0021322E">
        <w:rPr>
          <w:i/>
          <w:iCs/>
          <w:szCs w:val="16"/>
        </w:rPr>
        <w:t>Guide to securing personal information</w:t>
      </w:r>
      <w:r w:rsidRPr="0021322E">
        <w:rPr>
          <w:szCs w:val="16"/>
        </w:rPr>
        <w:t xml:space="preserve"> (June 2025), Part E: Physical security and personnel security.</w:t>
      </w:r>
    </w:p>
  </w:footnote>
  <w:footnote w:id="149">
    <w:p w14:paraId="1DE0F26B" w14:textId="77777777" w:rsidR="005776EE" w:rsidRDefault="005776EE" w:rsidP="00C4539B">
      <w:pPr>
        <w:pStyle w:val="Footnote"/>
      </w:pPr>
      <w:r>
        <w:rPr>
          <w:rStyle w:val="FootnoteReference"/>
        </w:rPr>
        <w:footnoteRef/>
      </w:r>
      <w:r>
        <w:t>Privacy Act 1988 (</w:t>
      </w:r>
      <w:proofErr w:type="spellStart"/>
      <w:r>
        <w:t>Cth</w:t>
      </w:r>
      <w:proofErr w:type="spellEnd"/>
      <w:r>
        <w:t>), Part IIIC (Notification of eligible data breaches), ss 26WE-26WK.</w:t>
      </w:r>
    </w:p>
  </w:footnote>
  <w:footnote w:id="150">
    <w:p w14:paraId="59C0B003" w14:textId="77777777" w:rsidR="005776EE" w:rsidRDefault="005776EE" w:rsidP="00C4539B">
      <w:pPr>
        <w:pStyle w:val="Footnote"/>
      </w:pPr>
      <w:r>
        <w:rPr>
          <w:rStyle w:val="FootnoteReference"/>
        </w:rPr>
        <w:footnoteRef/>
      </w:r>
      <w:r>
        <w:t>Privacy Act 1988 (Cth), s 26WE (meaning of eligible data breach).</w:t>
      </w:r>
    </w:p>
  </w:footnote>
  <w:footnote w:id="151">
    <w:p w14:paraId="502D4552" w14:textId="77777777" w:rsidR="005776EE" w:rsidRDefault="005776EE" w:rsidP="00264F05">
      <w:pPr>
        <w:pStyle w:val="Footnote"/>
      </w:pPr>
      <w:r>
        <w:rPr>
          <w:rStyle w:val="FootnoteReference"/>
        </w:rPr>
        <w:footnoteRef/>
      </w:r>
      <w:r>
        <w:t xml:space="preserve">OAIC, </w:t>
      </w:r>
      <w:r>
        <w:rPr>
          <w:i/>
          <w:iCs/>
        </w:rPr>
        <w:t>Data breach preparation and response</w:t>
      </w:r>
      <w:r>
        <w:t xml:space="preserve"> (February 2025), Part 2: Responding to data breaches — four key steps.</w:t>
      </w:r>
    </w:p>
  </w:footnote>
  <w:footnote w:id="152">
    <w:p w14:paraId="73C939A5" w14:textId="77777777" w:rsidR="005776EE" w:rsidRDefault="005776EE" w:rsidP="00264F05">
      <w:pPr>
        <w:pStyle w:val="Footnote"/>
      </w:pPr>
      <w:r>
        <w:rPr>
          <w:rStyle w:val="FootnoteReference"/>
        </w:rPr>
        <w:footnoteRef/>
      </w:r>
      <w:r>
        <w:t>Privacy Act 1988 (Cth), s 26WH (assessment of suspected eligible data breach — 30 day period).</w:t>
      </w:r>
    </w:p>
  </w:footnote>
  <w:footnote w:id="153">
    <w:p w14:paraId="7E78D220" w14:textId="27085E3F" w:rsidR="00137163" w:rsidRPr="00424E56" w:rsidRDefault="00137163" w:rsidP="00424E56">
      <w:pPr>
        <w:pStyle w:val="Footnote"/>
        <w:rPr>
          <w:szCs w:val="16"/>
        </w:rPr>
      </w:pPr>
      <w:r w:rsidRPr="00424E56">
        <w:rPr>
          <w:rStyle w:val="FootnoteReference"/>
          <w:szCs w:val="16"/>
        </w:rPr>
        <w:footnoteRef/>
      </w:r>
      <w:r w:rsidRPr="00424E56">
        <w:rPr>
          <w:szCs w:val="16"/>
        </w:rPr>
        <w:t xml:space="preserve"> </w:t>
      </w:r>
      <w:hyperlink r:id="rId37" w:history="1">
        <w:r w:rsidRPr="00424E56">
          <w:rPr>
            <w:color w:val="0000FF"/>
            <w:szCs w:val="16"/>
            <w:u w:val="single"/>
          </w:rPr>
          <w:t>Part 4: Notifiable Data Breach (NDB) Scheme | OAIC</w:t>
        </w:r>
      </w:hyperlink>
    </w:p>
  </w:footnote>
  <w:footnote w:id="154">
    <w:p w14:paraId="09B56D80" w14:textId="77777777" w:rsidR="005776EE" w:rsidRDefault="005776EE" w:rsidP="004E6AC9">
      <w:pPr>
        <w:pStyle w:val="Footnote"/>
      </w:pPr>
      <w:r>
        <w:rPr>
          <w:rStyle w:val="FootnoteReference"/>
        </w:rPr>
        <w:footnoteRef/>
      </w:r>
      <w:r>
        <w:t>Privacy Act 1988 (</w:t>
      </w:r>
      <w:proofErr w:type="spellStart"/>
      <w:r>
        <w:t>Cth</w:t>
      </w:r>
      <w:proofErr w:type="spellEnd"/>
      <w:r>
        <w:t>), s 26WK (contents of statement to Commissioner about eligible data breach).</w:t>
      </w:r>
    </w:p>
  </w:footnote>
  <w:footnote w:id="155">
    <w:p w14:paraId="10367309" w14:textId="77777777" w:rsidR="005776EE" w:rsidRDefault="005776EE" w:rsidP="004E6AC9">
      <w:pPr>
        <w:pStyle w:val="Footnote"/>
      </w:pPr>
      <w:r>
        <w:rPr>
          <w:rStyle w:val="FootnoteReference"/>
        </w:rPr>
        <w:footnoteRef/>
      </w:r>
      <w:r>
        <w:t>Privacy Act 1988 (</w:t>
      </w:r>
      <w:proofErr w:type="spellStart"/>
      <w:r>
        <w:t>Cth</w:t>
      </w:r>
      <w:proofErr w:type="spellEnd"/>
      <w:r>
        <w:t>), s 26WL (notification to individuals about eligible data breach).</w:t>
      </w:r>
    </w:p>
  </w:footnote>
  <w:footnote w:id="156">
    <w:p w14:paraId="13E7E834" w14:textId="77777777" w:rsidR="005776EE" w:rsidRDefault="005776EE" w:rsidP="004E6AC9">
      <w:pPr>
        <w:pStyle w:val="Footnote"/>
      </w:pPr>
      <w:r>
        <w:rPr>
          <w:rStyle w:val="FootnoteReference"/>
        </w:rPr>
        <w:footnoteRef/>
      </w:r>
      <w:r>
        <w:t>Australian Solicitors' Conduct Rules 2012 (Qld), r 9.1 (confidentiality) and r 13.1 (competence and diligence).</w:t>
      </w:r>
    </w:p>
  </w:footnote>
  <w:footnote w:id="157">
    <w:p w14:paraId="42C3D4C1" w14:textId="77777777" w:rsidR="005776EE" w:rsidRDefault="005776EE" w:rsidP="004E6AC9">
      <w:pPr>
        <w:pStyle w:val="Footnote"/>
      </w:pPr>
      <w:r>
        <w:rPr>
          <w:rStyle w:val="FootnoteReference"/>
        </w:rPr>
        <w:footnoteRef/>
      </w:r>
      <w:r>
        <w:t>Anti-Money Laundering and Counter-Terrorism Financing Act 2006 (Cth), s 123 (offence — tipping off about suspicious matter reports).</w:t>
      </w:r>
    </w:p>
  </w:footnote>
  <w:footnote w:id="158">
    <w:p w14:paraId="55F01DAF" w14:textId="1DB6FA1B" w:rsidR="005776EE" w:rsidRDefault="005776EE" w:rsidP="00635CDC">
      <w:pPr>
        <w:pStyle w:val="Footnote"/>
      </w:pPr>
      <w:r>
        <w:rPr>
          <w:rStyle w:val="FootnoteReference"/>
        </w:rPr>
        <w:footnoteRef/>
      </w:r>
      <w:r>
        <w:t>Australian Privacy Principle 12.1.</w:t>
      </w:r>
    </w:p>
  </w:footnote>
  <w:footnote w:id="159">
    <w:p w14:paraId="6DB6C993" w14:textId="465C334E" w:rsidR="00EE4F79" w:rsidRDefault="00EE4F79" w:rsidP="00635CDC">
      <w:pPr>
        <w:pStyle w:val="Footnote"/>
      </w:pPr>
      <w:r>
        <w:rPr>
          <w:rStyle w:val="FootnoteReference"/>
        </w:rPr>
        <w:footnoteRef/>
      </w:r>
      <w:r>
        <w:t>ASCR, rule 16.</w:t>
      </w:r>
    </w:p>
  </w:footnote>
  <w:footnote w:id="160">
    <w:p w14:paraId="6E86FF3E" w14:textId="77777777" w:rsidR="007205D1" w:rsidRDefault="007205D1" w:rsidP="00635CDC">
      <w:pPr>
        <w:pStyle w:val="Footnote"/>
      </w:pPr>
      <w:r>
        <w:rPr>
          <w:rStyle w:val="FootnoteReference"/>
        </w:rPr>
        <w:footnoteRef/>
      </w:r>
      <w:r>
        <w:t xml:space="preserve">OAIC, </w:t>
      </w:r>
      <w:r>
        <w:rPr>
          <w:i/>
          <w:iCs/>
        </w:rPr>
        <w:t>Chapter 12: APP 12 — Access to personal information</w:t>
      </w:r>
      <w:r>
        <w:t>, APP Guidelines (October 2025), [12.25]-[12.30] (reasonable period for response).</w:t>
      </w:r>
    </w:p>
  </w:footnote>
  <w:footnote w:id="161">
    <w:p w14:paraId="2A5D7A29" w14:textId="73F9A574" w:rsidR="005776EE" w:rsidRDefault="005776EE" w:rsidP="00CD5CC0">
      <w:pPr>
        <w:pStyle w:val="Footnote"/>
      </w:pPr>
      <w:r>
        <w:rPr>
          <w:rStyle w:val="FootnoteReference"/>
        </w:rPr>
        <w:footnoteRef/>
      </w:r>
      <w:r>
        <w:t>Australian Privacy Principle 12.3</w:t>
      </w:r>
      <w:r w:rsidR="00C026A2">
        <w:t xml:space="preserve"> </w:t>
      </w:r>
      <w:r>
        <w:t>(exceptions to the access requirement).</w:t>
      </w:r>
    </w:p>
  </w:footnote>
  <w:footnote w:id="162">
    <w:p w14:paraId="5F2439F4" w14:textId="77777777" w:rsidR="005776EE" w:rsidRDefault="005776EE" w:rsidP="001623F8">
      <w:pPr>
        <w:pStyle w:val="Footnote"/>
      </w:pPr>
      <w:r>
        <w:rPr>
          <w:rStyle w:val="FootnoteReference"/>
        </w:rPr>
        <w:footnoteRef/>
      </w:r>
      <w:r>
        <w:t xml:space="preserve">OAIC, </w:t>
      </w:r>
      <w:r>
        <w:rPr>
          <w:i/>
          <w:iCs/>
        </w:rPr>
        <w:t>Chapter 12: APP 12 — Access to personal information</w:t>
      </w:r>
      <w:r>
        <w:t>, APP Guidelines (October 2025), [12.55]-[12.65] (refusal and partial access).</w:t>
      </w:r>
    </w:p>
  </w:footnote>
  <w:footnote w:id="163">
    <w:p w14:paraId="0BD0354A" w14:textId="3143D43B" w:rsidR="005776EE" w:rsidRDefault="005776EE" w:rsidP="001623F8">
      <w:pPr>
        <w:pStyle w:val="Footnote"/>
      </w:pPr>
      <w:r>
        <w:rPr>
          <w:rStyle w:val="FootnoteReference"/>
        </w:rPr>
        <w:footnoteRef/>
      </w:r>
      <w:r>
        <w:t>Australian Privacy Principle 12.8, (refusal to give access — written notice with reasons).</w:t>
      </w:r>
    </w:p>
  </w:footnote>
  <w:footnote w:id="164">
    <w:p w14:paraId="4D98FDB9" w14:textId="54850FE2" w:rsidR="005776EE" w:rsidRDefault="005776EE" w:rsidP="001623F8">
      <w:pPr>
        <w:pStyle w:val="Footnote"/>
      </w:pPr>
      <w:r>
        <w:rPr>
          <w:rStyle w:val="FootnoteReference"/>
        </w:rPr>
        <w:footnoteRef/>
      </w:r>
      <w:r>
        <w:t>Australian Privacy Principle 13.1.</w:t>
      </w:r>
    </w:p>
  </w:footnote>
  <w:footnote w:id="165">
    <w:p w14:paraId="014A71A3" w14:textId="77777777" w:rsidR="005776EE" w:rsidRDefault="005776EE" w:rsidP="001623F8">
      <w:pPr>
        <w:pStyle w:val="Footnote"/>
      </w:pPr>
      <w:r>
        <w:rPr>
          <w:rStyle w:val="FootnoteReference"/>
        </w:rPr>
        <w:footnoteRef/>
      </w:r>
      <w:r>
        <w:t xml:space="preserve">OAIC, </w:t>
      </w:r>
      <w:r>
        <w:rPr>
          <w:i/>
          <w:iCs/>
        </w:rPr>
        <w:t>Chapter 13: APP 13 — Correction of personal information</w:t>
      </w:r>
      <w:r>
        <w:t>, APP Guidelines (October 2025), [13.20]-[13.30] (considerations when assessing correction requests).</w:t>
      </w:r>
    </w:p>
  </w:footnote>
  <w:footnote w:id="166">
    <w:p w14:paraId="1FF61C03" w14:textId="36186E9F" w:rsidR="005776EE" w:rsidRDefault="005776EE" w:rsidP="001623F8">
      <w:pPr>
        <w:pStyle w:val="Footnote"/>
      </w:pPr>
      <w:r>
        <w:rPr>
          <w:rStyle w:val="FootnoteReference"/>
        </w:rPr>
        <w:footnoteRef/>
      </w:r>
      <w:r>
        <w:t>Australian Privacy Principle 13.2,(obligation to correct if satisfied information is inaccurate).</w:t>
      </w:r>
    </w:p>
  </w:footnote>
  <w:footnote w:id="167">
    <w:p w14:paraId="3F9D4F7F" w14:textId="7A8F5EE3" w:rsidR="005776EE" w:rsidRDefault="005776EE" w:rsidP="001623F8">
      <w:pPr>
        <w:pStyle w:val="Footnote"/>
      </w:pPr>
      <w:r>
        <w:rPr>
          <w:rStyle w:val="FootnoteReference"/>
        </w:rPr>
        <w:footnoteRef/>
      </w:r>
      <w:r>
        <w:t>Australian Privacy Principle 13.3,(if refuse to correct, must give written notice and offer to associate a statement).</w:t>
      </w:r>
    </w:p>
  </w:footnote>
  <w:footnote w:id="168">
    <w:p w14:paraId="10FF8728" w14:textId="27A7B7E0" w:rsidR="005776EE" w:rsidRDefault="005776EE" w:rsidP="00F06623">
      <w:pPr>
        <w:pStyle w:val="Footnote"/>
      </w:pPr>
      <w:r>
        <w:rPr>
          <w:rStyle w:val="FootnoteReference"/>
        </w:rPr>
        <w:footnoteRef/>
      </w:r>
      <w:r w:rsidRPr="003117AD">
        <w:t>Australian Privacy Principle 13.4,(notification of correction to third parties).</w:t>
      </w:r>
    </w:p>
  </w:footnote>
  <w:footnote w:id="169">
    <w:p w14:paraId="35F0B464" w14:textId="2C1348EC" w:rsidR="005776EE" w:rsidRDefault="005776EE" w:rsidP="00F06623">
      <w:pPr>
        <w:pStyle w:val="Footnote"/>
      </w:pPr>
      <w:r>
        <w:rPr>
          <w:rStyle w:val="FootnoteReference"/>
        </w:rPr>
        <w:footnoteRef/>
      </w:r>
      <w:r>
        <w:t>Australian Privacy Principle 12.5,(fees for access).</w:t>
      </w:r>
    </w:p>
  </w:footnote>
  <w:footnote w:id="170">
    <w:p w14:paraId="7B36A38F" w14:textId="373A955A" w:rsidR="00BC4A50" w:rsidRDefault="00BC4A50" w:rsidP="00F06623">
      <w:pPr>
        <w:pStyle w:val="Footnote"/>
      </w:pPr>
      <w:r>
        <w:rPr>
          <w:rStyle w:val="FootnoteReference"/>
        </w:rPr>
        <w:footnoteRef/>
      </w:r>
      <w:r>
        <w:t xml:space="preserve"> See: </w:t>
      </w:r>
      <w:hyperlink r:id="rId38" w:history="1">
        <w:r w:rsidRPr="00BC4A50">
          <w:rPr>
            <w:rStyle w:val="Hyperlink"/>
          </w:rPr>
          <w:t>Charging for document storage - Queensland Law Society</w:t>
        </w:r>
      </w:hyperlink>
    </w:p>
  </w:footnote>
  <w:footnote w:id="171">
    <w:p w14:paraId="6E453645" w14:textId="77777777" w:rsidR="005776EE" w:rsidRDefault="005776EE" w:rsidP="00F06623">
      <w:pPr>
        <w:pStyle w:val="Footnote"/>
      </w:pPr>
      <w:r>
        <w:rPr>
          <w:rStyle w:val="FootnoteReference"/>
        </w:rPr>
        <w:footnoteRef/>
      </w:r>
      <w:r>
        <w:t xml:space="preserve">OAIC, </w:t>
      </w:r>
      <w:r>
        <w:rPr>
          <w:i/>
          <w:iCs/>
        </w:rPr>
        <w:t>Chapter 12: APP 12 — Access to personal information</w:t>
      </w:r>
      <w:r>
        <w:t>, APP Guidelines (October 2025), [12.40]-[12.50] (charges for access).</w:t>
      </w:r>
    </w:p>
  </w:footnote>
  <w:footnote w:id="172">
    <w:p w14:paraId="703FDC04" w14:textId="77777777" w:rsidR="005776EE" w:rsidRDefault="005776EE" w:rsidP="00F06623">
      <w:pPr>
        <w:pStyle w:val="Footnote"/>
      </w:pPr>
      <w:r>
        <w:rPr>
          <w:rStyle w:val="FootnoteReference"/>
        </w:rPr>
        <w:footnoteRef/>
      </w:r>
      <w:r>
        <w:t>Privacy Act 1988 (Cth), s 36 (making a privacy complaint to the Commissioner).</w:t>
      </w:r>
    </w:p>
  </w:footnote>
  <w:footnote w:id="173">
    <w:p w14:paraId="58D0C89E" w14:textId="7AE1450C" w:rsidR="005776EE" w:rsidRDefault="005776EE" w:rsidP="00F06623">
      <w:pPr>
        <w:pStyle w:val="Footnote"/>
      </w:pPr>
      <w:r>
        <w:rPr>
          <w:rStyle w:val="FootnoteReference"/>
        </w:rPr>
        <w:footnoteRef/>
      </w:r>
      <w:r>
        <w:t>Australian Privacy Principle 1.2(d), (staff training as part of reasonable steps to implement practices, procedures and systems).</w:t>
      </w:r>
    </w:p>
  </w:footnote>
  <w:footnote w:id="174">
    <w:p w14:paraId="2DA191F3" w14:textId="77777777" w:rsidR="005776EE" w:rsidRDefault="005776EE" w:rsidP="00F06623">
      <w:pPr>
        <w:pStyle w:val="Footnote"/>
      </w:pPr>
      <w:r>
        <w:rPr>
          <w:rStyle w:val="FootnoteReference"/>
        </w:rPr>
        <w:footnoteRef/>
      </w:r>
      <w:r>
        <w:t xml:space="preserve">OAIC, </w:t>
      </w:r>
      <w:r>
        <w:rPr>
          <w:i/>
          <w:iCs/>
        </w:rPr>
        <w:t>Chapter 1: APP 1 — Open and transparent management of personal information</w:t>
      </w:r>
      <w:r>
        <w:t>, APP Guidelines (October 2025), [1.35]-[1.40] (staff awareness and training).</w:t>
      </w:r>
    </w:p>
  </w:footnote>
  <w:footnote w:id="175">
    <w:p w14:paraId="2A68EDD2" w14:textId="77777777" w:rsidR="005776EE" w:rsidRDefault="005776EE" w:rsidP="00F06623">
      <w:pPr>
        <w:pStyle w:val="Footnote"/>
      </w:pPr>
      <w:r>
        <w:rPr>
          <w:rStyle w:val="FootnoteReference"/>
        </w:rPr>
        <w:footnoteRef/>
      </w:r>
      <w:r>
        <w:t xml:space="preserve">OAIC, </w:t>
      </w:r>
      <w:r>
        <w:rPr>
          <w:i/>
          <w:iCs/>
        </w:rPr>
        <w:t>Privacy management framework</w:t>
      </w:r>
      <w:r>
        <w:t xml:space="preserve"> (May 2025), Step 4: Train staff — training should be role-appropriate.</w:t>
      </w:r>
    </w:p>
  </w:footnote>
  <w:footnote w:id="176">
    <w:p w14:paraId="16786343" w14:textId="2F22C9DB" w:rsidR="005776EE" w:rsidRPr="004D1E21" w:rsidRDefault="005776EE" w:rsidP="00214D54">
      <w:pPr>
        <w:pStyle w:val="Footnote"/>
        <w:rPr>
          <w:szCs w:val="16"/>
        </w:rPr>
      </w:pPr>
      <w:r w:rsidRPr="004D1E21">
        <w:rPr>
          <w:rStyle w:val="FootnoteReference"/>
          <w:szCs w:val="16"/>
        </w:rPr>
        <w:footnoteRef/>
      </w:r>
      <w:r w:rsidRPr="004D1E21">
        <w:rPr>
          <w:szCs w:val="16"/>
        </w:rPr>
        <w:t>Australian Privacy Principle 1.4(e), (privacy policy must explain how to complain).</w:t>
      </w:r>
    </w:p>
  </w:footnote>
  <w:footnote w:id="177">
    <w:p w14:paraId="2384D03E" w14:textId="77777777" w:rsidR="005776EE" w:rsidRPr="004D1E21" w:rsidRDefault="005776EE" w:rsidP="00214D54">
      <w:pPr>
        <w:pStyle w:val="Footnote"/>
        <w:rPr>
          <w:szCs w:val="16"/>
        </w:rPr>
      </w:pPr>
      <w:r w:rsidRPr="004D1E21">
        <w:rPr>
          <w:rStyle w:val="FootnoteReference"/>
          <w:szCs w:val="16"/>
        </w:rPr>
        <w:footnoteRef/>
      </w:r>
      <w:r w:rsidRPr="004D1E21">
        <w:rPr>
          <w:szCs w:val="16"/>
        </w:rPr>
        <w:t xml:space="preserve">OAIC, </w:t>
      </w:r>
      <w:r w:rsidRPr="004D1E21">
        <w:rPr>
          <w:i/>
          <w:iCs/>
          <w:szCs w:val="16"/>
        </w:rPr>
        <w:t>Privacy complaint handling</w:t>
      </w:r>
      <w:r w:rsidRPr="004D1E21">
        <w:rPr>
          <w:szCs w:val="16"/>
        </w:rPr>
        <w:t xml:space="preserve"> (March 2025), Part 1: Setting up a complaint handling process.</w:t>
      </w:r>
    </w:p>
  </w:footnote>
  <w:footnote w:id="178">
    <w:p w14:paraId="39359844" w14:textId="77777777" w:rsidR="005776EE" w:rsidRPr="004D1E21" w:rsidRDefault="005776EE" w:rsidP="00214D54">
      <w:pPr>
        <w:pStyle w:val="Footnote"/>
        <w:rPr>
          <w:szCs w:val="16"/>
        </w:rPr>
      </w:pPr>
      <w:r w:rsidRPr="004D1E21">
        <w:rPr>
          <w:rStyle w:val="FootnoteReference"/>
          <w:szCs w:val="16"/>
        </w:rPr>
        <w:footnoteRef/>
      </w:r>
      <w:r w:rsidRPr="004D1E21">
        <w:rPr>
          <w:szCs w:val="16"/>
        </w:rPr>
        <w:t xml:space="preserve">OAIC, </w:t>
      </w:r>
      <w:r w:rsidRPr="004D1E21">
        <w:rPr>
          <w:i/>
          <w:iCs/>
          <w:szCs w:val="16"/>
        </w:rPr>
        <w:t>Privacy complaint handling</w:t>
      </w:r>
      <w:r w:rsidRPr="004D1E21">
        <w:rPr>
          <w:szCs w:val="16"/>
        </w:rPr>
        <w:t xml:space="preserve"> (March 2025), Part 2: Receiving and assessing complaints.</w:t>
      </w:r>
    </w:p>
  </w:footnote>
  <w:footnote w:id="179">
    <w:p w14:paraId="581F35F4" w14:textId="40D0C266" w:rsidR="005776EE" w:rsidRDefault="004D1E21" w:rsidP="008667B7">
      <w:pPr>
        <w:pStyle w:val="Footnote"/>
      </w:pPr>
      <w:r w:rsidRPr="004D1E21">
        <w:rPr>
          <w:rStyle w:val="FootnoteReference"/>
          <w:szCs w:val="16"/>
        </w:rPr>
        <w:footnoteRef/>
      </w:r>
    </w:p>
  </w:footnote>
  <w:footnote w:id="180">
    <w:p w14:paraId="4065B5E5" w14:textId="77777777" w:rsidR="005776EE" w:rsidRDefault="005776EE" w:rsidP="008667B7">
      <w:pPr>
        <w:pStyle w:val="Footnote"/>
      </w:pPr>
      <w:r>
        <w:rPr>
          <w:rStyle w:val="FootnoteReference"/>
        </w:rPr>
        <w:footnoteRef/>
      </w:r>
      <w:r>
        <w:t>Privacy Act 1988 (Cth), s 36 (individuals may complain to the Commissioner about an act or practice that may be an interference with privacy).</w:t>
      </w:r>
    </w:p>
  </w:footnote>
  <w:footnote w:id="181">
    <w:p w14:paraId="18FFED62" w14:textId="77777777" w:rsidR="005776EE" w:rsidRDefault="005776EE" w:rsidP="008667B7">
      <w:pPr>
        <w:pStyle w:val="Footnote"/>
      </w:pPr>
      <w:r>
        <w:rPr>
          <w:rStyle w:val="FootnoteReference"/>
        </w:rPr>
        <w:footnoteRef/>
      </w:r>
      <w:r>
        <w:t>Privacy Act 1988 (Cth), s 40(1A) (Commissioner may decline to investigate if complaint not first made to the respondent).</w:t>
      </w:r>
    </w:p>
  </w:footnote>
  <w:footnote w:id="182">
    <w:p w14:paraId="2D427E40" w14:textId="77777777" w:rsidR="005776EE" w:rsidRDefault="005776EE" w:rsidP="008667B7">
      <w:pPr>
        <w:pStyle w:val="Footnote"/>
      </w:pPr>
      <w:r>
        <w:rPr>
          <w:rStyle w:val="FootnoteReference"/>
        </w:rPr>
        <w:footnoteRef/>
      </w:r>
      <w:r>
        <w:t>Privacy Act 1988 (Cth), Part V (investigations by the Commissioner), ss 36-52.</w:t>
      </w:r>
    </w:p>
  </w:footnote>
  <w:footnote w:id="183">
    <w:p w14:paraId="6AF2392F" w14:textId="77777777" w:rsidR="005776EE" w:rsidRDefault="005776EE" w:rsidP="008667B7">
      <w:pPr>
        <w:pStyle w:val="Footnote"/>
      </w:pPr>
      <w:r>
        <w:rPr>
          <w:rStyle w:val="FootnoteReference"/>
        </w:rPr>
        <w:footnoteRef/>
      </w:r>
      <w:r>
        <w:t>Privacy Act 1988 (Cth), s 52 (determinations by the Commissioner following investigation).</w:t>
      </w:r>
    </w:p>
  </w:footnote>
  <w:footnote w:id="184">
    <w:p w14:paraId="6988BB67" w14:textId="77777777" w:rsidR="005776EE" w:rsidRDefault="005776EE" w:rsidP="00F06623">
      <w:pPr>
        <w:pStyle w:val="Footnote"/>
      </w:pPr>
      <w:r>
        <w:rPr>
          <w:rStyle w:val="FootnoteReference"/>
        </w:rPr>
        <w:footnoteRef/>
      </w:r>
      <w:r>
        <w:t xml:space="preserve">OAIC, </w:t>
      </w:r>
      <w:r>
        <w:rPr>
          <w:i/>
          <w:iCs/>
        </w:rPr>
        <w:t>Australian Privacy Principles Guidelines</w:t>
      </w:r>
      <w:r>
        <w:t xml:space="preserve"> (October 2025), available at &lt;https://www.oaic.gov.au/privacy/australian-privacy-principles/australian-privacy-principles-guidelines&gt;.</w:t>
      </w:r>
    </w:p>
  </w:footnote>
  <w:footnote w:id="185">
    <w:p w14:paraId="3D8A5E05" w14:textId="77777777" w:rsidR="005776EE" w:rsidRDefault="005776EE" w:rsidP="00F06623">
      <w:pPr>
        <w:pStyle w:val="Footnote"/>
      </w:pPr>
      <w:r>
        <w:rPr>
          <w:rStyle w:val="FootnoteReference"/>
        </w:rPr>
        <w:footnoteRef/>
      </w:r>
      <w:r>
        <w:t xml:space="preserve">AUSTRAC, </w:t>
      </w:r>
      <w:r>
        <w:rPr>
          <w:i/>
          <w:iCs/>
        </w:rPr>
        <w:t>AML/CTF Reform — Professional services sector</w:t>
      </w:r>
      <w:r>
        <w:t>, available at &lt;https://www.austrac.gov.au/business/how-comply-guidance-and-resources/guidance-resources/amlctf-reform&gt;.</w:t>
      </w:r>
    </w:p>
  </w:footnote>
  <w:footnote w:id="186">
    <w:p w14:paraId="0045CC79" w14:textId="77777777" w:rsidR="005776EE" w:rsidRDefault="005776EE" w:rsidP="00F06623">
      <w:pPr>
        <w:pStyle w:val="Footnote"/>
      </w:pPr>
      <w:r>
        <w:rPr>
          <w:rStyle w:val="FootnoteReference"/>
        </w:rPr>
        <w:footnoteRef/>
      </w:r>
      <w:r>
        <w:t>Queensland Law Society, Practice Support resources, available at &lt;https://www.qls.com.au/For-the-profession/Practice-support&gt;.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7B40" w14:textId="1BBD2D50" w:rsidR="00D91A8B" w:rsidRDefault="000169A8" w:rsidP="00973158">
    <w:pPr>
      <w:pStyle w:val="Header"/>
    </w:pPr>
    <w:r>
      <w:rPr>
        <w:noProof/>
      </w:rPr>
      <w:drawing>
        <wp:anchor distT="0" distB="0" distL="114300" distR="114300" simplePos="0" relativeHeight="251660288" behindDoc="1" locked="0" layoutInCell="1" allowOverlap="1" wp14:anchorId="69E5AEC2" wp14:editId="05888DC6">
          <wp:simplePos x="0" y="0"/>
          <wp:positionH relativeFrom="page">
            <wp:posOffset>9525</wp:posOffset>
          </wp:positionH>
          <wp:positionV relativeFrom="page">
            <wp:posOffset>8890</wp:posOffset>
          </wp:positionV>
          <wp:extent cx="7541895" cy="10663555"/>
          <wp:effectExtent l="0" t="0" r="1905" b="4445"/>
          <wp:wrapNone/>
          <wp:docPr id="1833925026" name="Picture 1833925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96511" name="Picture 335396511"/>
                  <pic:cNvPicPr/>
                </pic:nvPicPr>
                <pic:blipFill>
                  <a:blip r:embed="rId1">
                    <a:extLst>
                      <a:ext uri="{28A0092B-C50C-407E-A947-70E740481C1C}">
                        <a14:useLocalDpi xmlns:a14="http://schemas.microsoft.com/office/drawing/2010/main" val="0"/>
                      </a:ext>
                    </a:extLst>
                  </a:blip>
                  <a:stretch>
                    <a:fillRect/>
                  </a:stretch>
                </pic:blipFill>
                <pic:spPr>
                  <a:xfrm>
                    <a:off x="0" y="0"/>
                    <a:ext cx="7541895" cy="106635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076F1ED" wp14:editId="5C034C07">
          <wp:simplePos x="0" y="0"/>
          <wp:positionH relativeFrom="column">
            <wp:posOffset>5009770</wp:posOffset>
          </wp:positionH>
          <wp:positionV relativeFrom="page">
            <wp:posOffset>447644</wp:posOffset>
          </wp:positionV>
          <wp:extent cx="1081944" cy="1009650"/>
          <wp:effectExtent l="0" t="0" r="4445" b="0"/>
          <wp:wrapNone/>
          <wp:docPr id="954529797" name="Picture 954529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QLS logo-Vert REV100%.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1944" cy="1009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CellMar>
        <w:left w:w="0" w:type="dxa"/>
        <w:right w:w="0" w:type="dxa"/>
      </w:tblCellMar>
      <w:tblLook w:val="04A0" w:firstRow="1" w:lastRow="0" w:firstColumn="1" w:lastColumn="0" w:noHBand="0" w:noVBand="1"/>
    </w:tblPr>
    <w:tblGrid>
      <w:gridCol w:w="2250"/>
      <w:gridCol w:w="2927"/>
      <w:gridCol w:w="855"/>
      <w:gridCol w:w="13"/>
      <w:gridCol w:w="4161"/>
    </w:tblGrid>
    <w:tr w:rsidR="00D91A8B" w14:paraId="6C4D5790" w14:textId="77777777" w:rsidTr="006D4D88">
      <w:tc>
        <w:tcPr>
          <w:tcW w:w="2823" w:type="dxa"/>
        </w:tcPr>
        <w:p w14:paraId="6FCCA2AD" w14:textId="77777777" w:rsidR="00D91A8B" w:rsidRDefault="00850B28" w:rsidP="00973158">
          <w:pPr>
            <w:pStyle w:val="Header"/>
          </w:pPr>
          <w:r>
            <w:rPr>
              <w:noProof/>
            </w:rPr>
            <w:drawing>
              <wp:inline distT="0" distB="0" distL="0" distR="0" wp14:anchorId="231B6C14" wp14:editId="6E0E024C">
                <wp:extent cx="1409700" cy="371475"/>
                <wp:effectExtent l="0" t="0" r="0" b="0"/>
                <wp:docPr id="927711681" name="Picture 927711681" descr="QLS_logo_RGB_300dpi-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S_logo_RGB_300dpi-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a:ln>
                          <a:noFill/>
                        </a:ln>
                      </pic:spPr>
                    </pic:pic>
                  </a:graphicData>
                </a:graphic>
              </wp:inline>
            </w:drawing>
          </w:r>
        </w:p>
      </w:tc>
      <w:tc>
        <w:tcPr>
          <w:tcW w:w="5682" w:type="dxa"/>
          <w:gridSpan w:val="2"/>
          <w:vAlign w:val="center"/>
        </w:tcPr>
        <w:p w14:paraId="1889B1EC" w14:textId="77777777" w:rsidR="00D91A8B" w:rsidRPr="00F15567" w:rsidRDefault="00D91A8B" w:rsidP="00973158">
          <w:pPr>
            <w:pStyle w:val="Header"/>
          </w:pPr>
          <w:r w:rsidRPr="00F15567">
            <w:t xml:space="preserve">Council meeting </w:t>
          </w:r>
        </w:p>
      </w:tc>
      <w:tc>
        <w:tcPr>
          <w:tcW w:w="142" w:type="dxa"/>
          <w:vAlign w:val="center"/>
        </w:tcPr>
        <w:p w14:paraId="757B73F0" w14:textId="77777777" w:rsidR="00D91A8B" w:rsidRPr="00E0481E" w:rsidRDefault="00D91A8B" w:rsidP="00973158">
          <w:pPr>
            <w:pStyle w:val="Header"/>
          </w:pPr>
        </w:p>
      </w:tc>
      <w:tc>
        <w:tcPr>
          <w:tcW w:w="1559" w:type="dxa"/>
          <w:shd w:val="clear" w:color="auto" w:fill="D9D9D9"/>
          <w:vAlign w:val="center"/>
        </w:tcPr>
        <w:p w14:paraId="1C1BA9C9" w14:textId="77777777" w:rsidR="00D91A8B" w:rsidRPr="00F15567" w:rsidRDefault="00D91A8B" w:rsidP="00973158">
          <w:pPr>
            <w:pStyle w:val="Header"/>
          </w:pPr>
          <w:r w:rsidRPr="00F15567">
            <w:t>AGENDA</w:t>
          </w:r>
        </w:p>
      </w:tc>
    </w:tr>
    <w:tr w:rsidR="00D91A8B" w14:paraId="4CC27FFB" w14:textId="77777777" w:rsidTr="006D4D88">
      <w:trPr>
        <w:trHeight w:hRule="exact" w:val="170"/>
      </w:trPr>
      <w:tc>
        <w:tcPr>
          <w:tcW w:w="2823" w:type="dxa"/>
          <w:tcBorders>
            <w:bottom w:val="single" w:sz="4" w:space="0" w:color="BFBFBF"/>
          </w:tcBorders>
        </w:tcPr>
        <w:p w14:paraId="6E251D74" w14:textId="77777777" w:rsidR="00D91A8B" w:rsidRDefault="00D91A8B" w:rsidP="00973158">
          <w:pPr>
            <w:pStyle w:val="Header"/>
          </w:pPr>
        </w:p>
      </w:tc>
      <w:tc>
        <w:tcPr>
          <w:tcW w:w="3824" w:type="dxa"/>
          <w:tcBorders>
            <w:bottom w:val="single" w:sz="4" w:space="0" w:color="BFBFBF"/>
          </w:tcBorders>
        </w:tcPr>
        <w:p w14:paraId="20E7EBF2" w14:textId="77777777" w:rsidR="00D91A8B" w:rsidRDefault="00D91A8B" w:rsidP="00973158">
          <w:pPr>
            <w:pStyle w:val="Header"/>
          </w:pPr>
        </w:p>
      </w:tc>
      <w:tc>
        <w:tcPr>
          <w:tcW w:w="2000" w:type="dxa"/>
          <w:gridSpan w:val="2"/>
          <w:tcBorders>
            <w:bottom w:val="single" w:sz="4" w:space="0" w:color="BFBFBF"/>
          </w:tcBorders>
        </w:tcPr>
        <w:p w14:paraId="7C535FAD" w14:textId="77777777" w:rsidR="00D91A8B" w:rsidRDefault="00D91A8B" w:rsidP="00973158">
          <w:pPr>
            <w:pStyle w:val="Header"/>
          </w:pPr>
        </w:p>
      </w:tc>
      <w:tc>
        <w:tcPr>
          <w:tcW w:w="1559" w:type="dxa"/>
          <w:tcBorders>
            <w:bottom w:val="single" w:sz="4" w:space="0" w:color="BFBFBF"/>
          </w:tcBorders>
        </w:tcPr>
        <w:p w14:paraId="258A7BF7" w14:textId="77777777" w:rsidR="00D91A8B" w:rsidRDefault="00D91A8B" w:rsidP="00973158">
          <w:pPr>
            <w:pStyle w:val="Header"/>
          </w:pPr>
        </w:p>
      </w:tc>
    </w:tr>
  </w:tbl>
  <w:p w14:paraId="5CB4A470" w14:textId="77777777" w:rsidR="00D91A8B" w:rsidRDefault="00D91A8B" w:rsidP="00973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5AEFD7A"/>
    <w:lvl w:ilvl="0">
      <w:start w:val="1"/>
      <w:numFmt w:val="decimal"/>
      <w:pStyle w:val="ListNumber"/>
      <w:lvlText w:val="%1."/>
      <w:lvlJc w:val="left"/>
      <w:pPr>
        <w:ind w:left="360" w:hanging="360"/>
      </w:pPr>
      <w:rPr>
        <w:b w:val="0"/>
        <w:bCs w:val="0"/>
      </w:rPr>
    </w:lvl>
  </w:abstractNum>
  <w:abstractNum w:abstractNumId="1" w15:restartNumberingAfterBreak="0">
    <w:nsid w:val="FFFFFF89"/>
    <w:multiLevelType w:val="singleLevel"/>
    <w:tmpl w:val="E9805F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E21698"/>
    <w:multiLevelType w:val="hybridMultilevel"/>
    <w:tmpl w:val="00B0E04C"/>
    <w:lvl w:ilvl="0" w:tplc="73AAC162">
      <w:start w:val="1"/>
      <w:numFmt w:val="decimal"/>
      <w:lvlText w:val="%1."/>
      <w:lvlJc w:val="left"/>
      <w:pPr>
        <w:ind w:left="720" w:hanging="360"/>
      </w:pPr>
    </w:lvl>
    <w:lvl w:ilvl="1" w:tplc="3DAC3A10">
      <w:numFmt w:val="decimal"/>
      <w:lvlText w:val=""/>
      <w:lvlJc w:val="left"/>
    </w:lvl>
    <w:lvl w:ilvl="2" w:tplc="0B16B580">
      <w:numFmt w:val="decimal"/>
      <w:lvlText w:val=""/>
      <w:lvlJc w:val="left"/>
    </w:lvl>
    <w:lvl w:ilvl="3" w:tplc="65F27308">
      <w:numFmt w:val="decimal"/>
      <w:lvlText w:val=""/>
      <w:lvlJc w:val="left"/>
    </w:lvl>
    <w:lvl w:ilvl="4" w:tplc="821E3EDA">
      <w:numFmt w:val="decimal"/>
      <w:lvlText w:val=""/>
      <w:lvlJc w:val="left"/>
    </w:lvl>
    <w:lvl w:ilvl="5" w:tplc="9F5AD222">
      <w:numFmt w:val="decimal"/>
      <w:lvlText w:val=""/>
      <w:lvlJc w:val="left"/>
    </w:lvl>
    <w:lvl w:ilvl="6" w:tplc="036A62DC">
      <w:numFmt w:val="decimal"/>
      <w:lvlText w:val=""/>
      <w:lvlJc w:val="left"/>
    </w:lvl>
    <w:lvl w:ilvl="7" w:tplc="ED149B14">
      <w:numFmt w:val="decimal"/>
      <w:lvlText w:val=""/>
      <w:lvlJc w:val="left"/>
    </w:lvl>
    <w:lvl w:ilvl="8" w:tplc="CDB8B81A">
      <w:numFmt w:val="decimal"/>
      <w:lvlText w:val=""/>
      <w:lvlJc w:val="left"/>
    </w:lvl>
  </w:abstractNum>
  <w:abstractNum w:abstractNumId="3" w15:restartNumberingAfterBreak="0">
    <w:nsid w:val="0BF90DEF"/>
    <w:multiLevelType w:val="hybridMultilevel"/>
    <w:tmpl w:val="79AC16AA"/>
    <w:lvl w:ilvl="0" w:tplc="0E54E726">
      <w:numFmt w:val="bullet"/>
      <w:lvlText w:val="□"/>
      <w:lvlJc w:val="left"/>
      <w:pPr>
        <w:ind w:left="720" w:hanging="360"/>
      </w:pPr>
      <w:rPr>
        <w:rFonts w:ascii="Arial" w:hAnsi="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5106BA"/>
    <w:multiLevelType w:val="hybridMultilevel"/>
    <w:tmpl w:val="712033EC"/>
    <w:lvl w:ilvl="0" w:tplc="66B828CE">
      <w:start w:val="1"/>
      <w:numFmt w:val="bullet"/>
      <w:lvlText w:val="•"/>
      <w:lvlJc w:val="left"/>
      <w:pPr>
        <w:ind w:left="720" w:hanging="360"/>
      </w:pPr>
    </w:lvl>
    <w:lvl w:ilvl="1" w:tplc="E430A766">
      <w:numFmt w:val="decimal"/>
      <w:lvlText w:val=""/>
      <w:lvlJc w:val="left"/>
    </w:lvl>
    <w:lvl w:ilvl="2" w:tplc="A59A7DCC">
      <w:numFmt w:val="decimal"/>
      <w:lvlText w:val=""/>
      <w:lvlJc w:val="left"/>
    </w:lvl>
    <w:lvl w:ilvl="3" w:tplc="63C88186">
      <w:numFmt w:val="decimal"/>
      <w:lvlText w:val=""/>
      <w:lvlJc w:val="left"/>
    </w:lvl>
    <w:lvl w:ilvl="4" w:tplc="6F30FB04">
      <w:numFmt w:val="decimal"/>
      <w:lvlText w:val=""/>
      <w:lvlJc w:val="left"/>
    </w:lvl>
    <w:lvl w:ilvl="5" w:tplc="5044D77C">
      <w:numFmt w:val="decimal"/>
      <w:lvlText w:val=""/>
      <w:lvlJc w:val="left"/>
    </w:lvl>
    <w:lvl w:ilvl="6" w:tplc="5978B2EC">
      <w:numFmt w:val="decimal"/>
      <w:lvlText w:val=""/>
      <w:lvlJc w:val="left"/>
    </w:lvl>
    <w:lvl w:ilvl="7" w:tplc="B6BCF60C">
      <w:numFmt w:val="decimal"/>
      <w:lvlText w:val=""/>
      <w:lvlJc w:val="left"/>
    </w:lvl>
    <w:lvl w:ilvl="8" w:tplc="C53E5178">
      <w:numFmt w:val="decimal"/>
      <w:lvlText w:val=""/>
      <w:lvlJc w:val="left"/>
    </w:lvl>
  </w:abstractNum>
  <w:abstractNum w:abstractNumId="5" w15:restartNumberingAfterBreak="0">
    <w:nsid w:val="10F24A7F"/>
    <w:multiLevelType w:val="hybridMultilevel"/>
    <w:tmpl w:val="478E6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F66A5D"/>
    <w:multiLevelType w:val="hybridMultilevel"/>
    <w:tmpl w:val="9D4E26E0"/>
    <w:lvl w:ilvl="0" w:tplc="2D6277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0328F3"/>
    <w:multiLevelType w:val="multilevel"/>
    <w:tmpl w:val="427E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B4649"/>
    <w:multiLevelType w:val="multilevel"/>
    <w:tmpl w:val="C4326258"/>
    <w:lvl w:ilvl="0">
      <w:start w:val="1"/>
      <w:numFmt w:val="decimal"/>
      <w:suff w:val="space"/>
      <w:lvlText w:val="%1."/>
      <w:lvlJc w:val="left"/>
      <w:pPr>
        <w:ind w:left="567" w:hanging="567"/>
      </w:pPr>
      <w:rPr>
        <w:rFonts w:ascii="Arial" w:hAnsi="Arial" w:hint="default"/>
        <w:b/>
        <w:sz w:val="24"/>
      </w:rPr>
    </w:lvl>
    <w:lvl w:ilvl="1">
      <w:start w:val="1"/>
      <w:numFmt w:val="decimal"/>
      <w:pStyle w:val="Style1"/>
      <w:suff w:val="space"/>
      <w:lvlText w:val="%1.%2."/>
      <w:lvlJc w:val="left"/>
      <w:pPr>
        <w:ind w:left="567" w:hanging="567"/>
      </w:pPr>
      <w:rPr>
        <w:rFonts w:ascii="Arial" w:hAnsi="Arial" w:hint="default"/>
        <w:b/>
        <w:sz w:val="20"/>
      </w:rPr>
    </w:lvl>
    <w:lvl w:ilvl="2">
      <w:start w:val="1"/>
      <w:numFmt w:val="decimal"/>
      <w:suff w:val="space"/>
      <w:lvlText w:val="%1.%2.%3."/>
      <w:lvlJc w:val="left"/>
      <w:pPr>
        <w:ind w:left="1071" w:hanging="357"/>
      </w:pPr>
      <w:rPr>
        <w:rFonts w:hint="default"/>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9" w15:restartNumberingAfterBreak="0">
    <w:nsid w:val="1A1E192A"/>
    <w:multiLevelType w:val="hybridMultilevel"/>
    <w:tmpl w:val="3FA883B4"/>
    <w:lvl w:ilvl="0" w:tplc="0B5ABAFA">
      <w:start w:val="1"/>
      <w:numFmt w:val="bullet"/>
      <w:lvlText w:val="•"/>
      <w:lvlJc w:val="left"/>
      <w:pPr>
        <w:ind w:left="720" w:hanging="360"/>
      </w:pPr>
    </w:lvl>
    <w:lvl w:ilvl="1" w:tplc="9D8EC52A">
      <w:numFmt w:val="decimal"/>
      <w:lvlText w:val=""/>
      <w:lvlJc w:val="left"/>
    </w:lvl>
    <w:lvl w:ilvl="2" w:tplc="96C6AACA">
      <w:numFmt w:val="decimal"/>
      <w:lvlText w:val=""/>
      <w:lvlJc w:val="left"/>
    </w:lvl>
    <w:lvl w:ilvl="3" w:tplc="A02C4B92">
      <w:numFmt w:val="decimal"/>
      <w:lvlText w:val=""/>
      <w:lvlJc w:val="left"/>
    </w:lvl>
    <w:lvl w:ilvl="4" w:tplc="8EAE157A">
      <w:numFmt w:val="decimal"/>
      <w:lvlText w:val=""/>
      <w:lvlJc w:val="left"/>
    </w:lvl>
    <w:lvl w:ilvl="5" w:tplc="2858117C">
      <w:numFmt w:val="decimal"/>
      <w:lvlText w:val=""/>
      <w:lvlJc w:val="left"/>
    </w:lvl>
    <w:lvl w:ilvl="6" w:tplc="09C2ACA4">
      <w:numFmt w:val="decimal"/>
      <w:lvlText w:val=""/>
      <w:lvlJc w:val="left"/>
    </w:lvl>
    <w:lvl w:ilvl="7" w:tplc="80CC7648">
      <w:numFmt w:val="decimal"/>
      <w:lvlText w:val=""/>
      <w:lvlJc w:val="left"/>
    </w:lvl>
    <w:lvl w:ilvl="8" w:tplc="28AA5438">
      <w:numFmt w:val="decimal"/>
      <w:lvlText w:val=""/>
      <w:lvlJc w:val="left"/>
    </w:lvl>
  </w:abstractNum>
  <w:abstractNum w:abstractNumId="10" w15:restartNumberingAfterBreak="0">
    <w:nsid w:val="1B682509"/>
    <w:multiLevelType w:val="hybridMultilevel"/>
    <w:tmpl w:val="790A1B06"/>
    <w:lvl w:ilvl="0" w:tplc="7902C15C">
      <w:start w:val="1"/>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0F0062"/>
    <w:multiLevelType w:val="hybridMultilevel"/>
    <w:tmpl w:val="D2221B50"/>
    <w:lvl w:ilvl="0" w:tplc="1334FF9C">
      <w:numFmt w:val="bullet"/>
      <w:lvlText w:val="□"/>
      <w:lvlJc w:val="left"/>
      <w:pPr>
        <w:ind w:left="720" w:hanging="360"/>
      </w:pPr>
      <w:rPr>
        <w:rFonts w:ascii="Arial" w:hAnsi="Arial" w:hint="default"/>
        <w:sz w:val="32"/>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2F5AAE"/>
    <w:multiLevelType w:val="hybridMultilevel"/>
    <w:tmpl w:val="F978F3BA"/>
    <w:lvl w:ilvl="0" w:tplc="0E54E726">
      <w:numFmt w:val="bullet"/>
      <w:lvlText w:val="□"/>
      <w:lvlJc w:val="left"/>
      <w:pPr>
        <w:ind w:left="720" w:hanging="360"/>
      </w:pPr>
      <w:rPr>
        <w:rFonts w:ascii="Arial" w:hAnsi="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C3385B"/>
    <w:multiLevelType w:val="hybridMultilevel"/>
    <w:tmpl w:val="658404C4"/>
    <w:lvl w:ilvl="0" w:tplc="11C05160">
      <w:start w:val="1"/>
      <w:numFmt w:val="bullet"/>
      <w:lvlText w:val="•"/>
      <w:lvlJc w:val="left"/>
      <w:pPr>
        <w:ind w:left="720" w:hanging="360"/>
      </w:pPr>
    </w:lvl>
    <w:lvl w:ilvl="1" w:tplc="2E46A78C">
      <w:numFmt w:val="decimal"/>
      <w:lvlText w:val=""/>
      <w:lvlJc w:val="left"/>
    </w:lvl>
    <w:lvl w:ilvl="2" w:tplc="361095C8">
      <w:numFmt w:val="decimal"/>
      <w:lvlText w:val=""/>
      <w:lvlJc w:val="left"/>
    </w:lvl>
    <w:lvl w:ilvl="3" w:tplc="C8EEEAFC">
      <w:numFmt w:val="decimal"/>
      <w:lvlText w:val=""/>
      <w:lvlJc w:val="left"/>
    </w:lvl>
    <w:lvl w:ilvl="4" w:tplc="7EF028A4">
      <w:numFmt w:val="decimal"/>
      <w:lvlText w:val=""/>
      <w:lvlJc w:val="left"/>
    </w:lvl>
    <w:lvl w:ilvl="5" w:tplc="6996228A">
      <w:numFmt w:val="decimal"/>
      <w:lvlText w:val=""/>
      <w:lvlJc w:val="left"/>
    </w:lvl>
    <w:lvl w:ilvl="6" w:tplc="74CC16FC">
      <w:numFmt w:val="decimal"/>
      <w:lvlText w:val=""/>
      <w:lvlJc w:val="left"/>
    </w:lvl>
    <w:lvl w:ilvl="7" w:tplc="1834D078">
      <w:numFmt w:val="decimal"/>
      <w:lvlText w:val=""/>
      <w:lvlJc w:val="left"/>
    </w:lvl>
    <w:lvl w:ilvl="8" w:tplc="46F6CE1A">
      <w:numFmt w:val="decimal"/>
      <w:lvlText w:val=""/>
      <w:lvlJc w:val="left"/>
    </w:lvl>
  </w:abstractNum>
  <w:abstractNum w:abstractNumId="14" w15:restartNumberingAfterBreak="0">
    <w:nsid w:val="2BEF3A4F"/>
    <w:multiLevelType w:val="hybridMultilevel"/>
    <w:tmpl w:val="F30CB042"/>
    <w:lvl w:ilvl="0" w:tplc="7BB08AEE">
      <w:numFmt w:val="bullet"/>
      <w:lvlText w:val="□"/>
      <w:lvlJc w:val="left"/>
      <w:pPr>
        <w:ind w:left="720" w:hanging="360"/>
      </w:pPr>
      <w:rPr>
        <w:rFonts w:ascii="Arial" w:hAnsi="Arial" w:hint="default"/>
        <w:sz w:val="32"/>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B828BC"/>
    <w:multiLevelType w:val="hybridMultilevel"/>
    <w:tmpl w:val="EFC04150"/>
    <w:lvl w:ilvl="0" w:tplc="0E54E726">
      <w:numFmt w:val="bullet"/>
      <w:lvlText w:val="□"/>
      <w:lvlJc w:val="left"/>
      <w:pPr>
        <w:ind w:left="720" w:hanging="360"/>
      </w:pPr>
      <w:rPr>
        <w:rFonts w:ascii="Arial" w:hAnsi="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185340"/>
    <w:multiLevelType w:val="hybridMultilevel"/>
    <w:tmpl w:val="E8CA307A"/>
    <w:lvl w:ilvl="0" w:tplc="2A72E5E6">
      <w:start w:val="1"/>
      <w:numFmt w:val="bullet"/>
      <w:lvlText w:val="•"/>
      <w:lvlJc w:val="left"/>
      <w:pPr>
        <w:ind w:left="720" w:hanging="360"/>
      </w:pPr>
    </w:lvl>
    <w:lvl w:ilvl="1" w:tplc="55C27FC4">
      <w:numFmt w:val="decimal"/>
      <w:lvlText w:val=""/>
      <w:lvlJc w:val="left"/>
    </w:lvl>
    <w:lvl w:ilvl="2" w:tplc="21D6960C">
      <w:numFmt w:val="decimal"/>
      <w:lvlText w:val=""/>
      <w:lvlJc w:val="left"/>
    </w:lvl>
    <w:lvl w:ilvl="3" w:tplc="B394C844">
      <w:numFmt w:val="decimal"/>
      <w:lvlText w:val=""/>
      <w:lvlJc w:val="left"/>
    </w:lvl>
    <w:lvl w:ilvl="4" w:tplc="912CC098">
      <w:numFmt w:val="decimal"/>
      <w:lvlText w:val=""/>
      <w:lvlJc w:val="left"/>
    </w:lvl>
    <w:lvl w:ilvl="5" w:tplc="2FA67E9A">
      <w:numFmt w:val="decimal"/>
      <w:lvlText w:val=""/>
      <w:lvlJc w:val="left"/>
    </w:lvl>
    <w:lvl w:ilvl="6" w:tplc="780E4A78">
      <w:numFmt w:val="decimal"/>
      <w:lvlText w:val=""/>
      <w:lvlJc w:val="left"/>
    </w:lvl>
    <w:lvl w:ilvl="7" w:tplc="53462606">
      <w:numFmt w:val="decimal"/>
      <w:lvlText w:val=""/>
      <w:lvlJc w:val="left"/>
    </w:lvl>
    <w:lvl w:ilvl="8" w:tplc="41B65AAE">
      <w:numFmt w:val="decimal"/>
      <w:lvlText w:val=""/>
      <w:lvlJc w:val="left"/>
    </w:lvl>
  </w:abstractNum>
  <w:abstractNum w:abstractNumId="17" w15:restartNumberingAfterBreak="0">
    <w:nsid w:val="34611C92"/>
    <w:multiLevelType w:val="hybridMultilevel"/>
    <w:tmpl w:val="9B04533C"/>
    <w:lvl w:ilvl="0" w:tplc="7902C15C">
      <w:start w:val="1"/>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76309A"/>
    <w:multiLevelType w:val="hybridMultilevel"/>
    <w:tmpl w:val="89723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37163A"/>
    <w:multiLevelType w:val="hybridMultilevel"/>
    <w:tmpl w:val="A6A69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876695"/>
    <w:multiLevelType w:val="hybridMultilevel"/>
    <w:tmpl w:val="72267DA2"/>
    <w:lvl w:ilvl="0" w:tplc="41781DF8">
      <w:start w:val="1"/>
      <w:numFmt w:val="decimal"/>
      <w:lvlText w:val="%1."/>
      <w:lvlJc w:val="left"/>
      <w:pPr>
        <w:ind w:left="720" w:hanging="360"/>
      </w:pPr>
    </w:lvl>
    <w:lvl w:ilvl="1" w:tplc="111E150A">
      <w:numFmt w:val="decimal"/>
      <w:lvlText w:val=""/>
      <w:lvlJc w:val="left"/>
    </w:lvl>
    <w:lvl w:ilvl="2" w:tplc="73C614FC">
      <w:numFmt w:val="decimal"/>
      <w:lvlText w:val=""/>
      <w:lvlJc w:val="left"/>
    </w:lvl>
    <w:lvl w:ilvl="3" w:tplc="49E8B1EA">
      <w:numFmt w:val="decimal"/>
      <w:lvlText w:val=""/>
      <w:lvlJc w:val="left"/>
    </w:lvl>
    <w:lvl w:ilvl="4" w:tplc="11E03B20">
      <w:numFmt w:val="decimal"/>
      <w:lvlText w:val=""/>
      <w:lvlJc w:val="left"/>
    </w:lvl>
    <w:lvl w:ilvl="5" w:tplc="B9AC9E9C">
      <w:numFmt w:val="decimal"/>
      <w:lvlText w:val=""/>
      <w:lvlJc w:val="left"/>
    </w:lvl>
    <w:lvl w:ilvl="6" w:tplc="5FE409CA">
      <w:numFmt w:val="decimal"/>
      <w:lvlText w:val=""/>
      <w:lvlJc w:val="left"/>
    </w:lvl>
    <w:lvl w:ilvl="7" w:tplc="EB54A66A">
      <w:numFmt w:val="decimal"/>
      <w:lvlText w:val=""/>
      <w:lvlJc w:val="left"/>
    </w:lvl>
    <w:lvl w:ilvl="8" w:tplc="9F8AF4EC">
      <w:numFmt w:val="decimal"/>
      <w:lvlText w:val=""/>
      <w:lvlJc w:val="left"/>
    </w:lvl>
  </w:abstractNum>
  <w:abstractNum w:abstractNumId="21" w15:restartNumberingAfterBreak="0">
    <w:nsid w:val="44F24A3A"/>
    <w:multiLevelType w:val="hybridMultilevel"/>
    <w:tmpl w:val="9CB2F8CA"/>
    <w:lvl w:ilvl="0" w:tplc="7902C15C">
      <w:start w:val="1"/>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BD5A24"/>
    <w:multiLevelType w:val="hybridMultilevel"/>
    <w:tmpl w:val="B5982D8E"/>
    <w:lvl w:ilvl="0" w:tplc="0E54E726">
      <w:numFmt w:val="bullet"/>
      <w:lvlText w:val="□"/>
      <w:lvlJc w:val="left"/>
      <w:pPr>
        <w:ind w:left="720" w:hanging="360"/>
      </w:pPr>
      <w:rPr>
        <w:rFonts w:ascii="Arial" w:hAnsi="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14858"/>
    <w:multiLevelType w:val="hybridMultilevel"/>
    <w:tmpl w:val="3E2C758A"/>
    <w:lvl w:ilvl="0" w:tplc="7902C15C">
      <w:start w:val="1"/>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C65277"/>
    <w:multiLevelType w:val="multilevel"/>
    <w:tmpl w:val="77E61D12"/>
    <w:numStyleLink w:val="QLSMultilevelList"/>
  </w:abstractNum>
  <w:abstractNum w:abstractNumId="25" w15:restartNumberingAfterBreak="0">
    <w:nsid w:val="5A11007A"/>
    <w:multiLevelType w:val="hybridMultilevel"/>
    <w:tmpl w:val="561607B0"/>
    <w:lvl w:ilvl="0" w:tplc="3F82D9DA">
      <w:numFmt w:val="bullet"/>
      <w:pStyle w:val="ChecklistListParagraph"/>
      <w:lvlText w:val="□"/>
      <w:lvlJc w:val="left"/>
      <w:pPr>
        <w:ind w:left="720" w:hanging="360"/>
      </w:pPr>
      <w:rPr>
        <w:rFonts w:ascii="Arial" w:hAnsi="Arial" w:hint="default"/>
        <w:sz w:val="32"/>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0F0BF7"/>
    <w:multiLevelType w:val="multilevel"/>
    <w:tmpl w:val="77E61D12"/>
    <w:styleLink w:val="QLSMultilevelList"/>
    <w:lvl w:ilvl="0">
      <w:start w:val="1"/>
      <w:numFmt w:val="decimal"/>
      <w:pStyle w:val="NumberedHeading1"/>
      <w:lvlText w:val="%1."/>
      <w:lvlJc w:val="left"/>
      <w:pPr>
        <w:tabs>
          <w:tab w:val="num" w:pos="680"/>
        </w:tabs>
        <w:ind w:left="680" w:hanging="680"/>
      </w:pPr>
      <w:rPr>
        <w:rFonts w:ascii="Arial" w:hAnsi="Arial" w:hint="default"/>
        <w:b/>
        <w:sz w:val="32"/>
      </w:rPr>
    </w:lvl>
    <w:lvl w:ilvl="1">
      <w:start w:val="1"/>
      <w:numFmt w:val="decimal"/>
      <w:pStyle w:val="NumberedHeading2"/>
      <w:lvlText w:val="%1.%2."/>
      <w:lvlJc w:val="left"/>
      <w:pPr>
        <w:tabs>
          <w:tab w:val="num" w:pos="1361"/>
        </w:tabs>
        <w:ind w:left="1361" w:hanging="681"/>
      </w:pPr>
      <w:rPr>
        <w:rFonts w:ascii="Arial" w:hAnsi="Arial" w:hint="default"/>
        <w:b/>
        <w:sz w:val="24"/>
      </w:rPr>
    </w:lvl>
    <w:lvl w:ilvl="2">
      <w:start w:val="1"/>
      <w:numFmt w:val="decimal"/>
      <w:pStyle w:val="NumberedHeading3"/>
      <w:lvlText w:val="%1.%2.%3."/>
      <w:lvlJc w:val="left"/>
      <w:pPr>
        <w:tabs>
          <w:tab w:val="num" w:pos="1814"/>
        </w:tabs>
        <w:ind w:left="1814" w:hanging="453"/>
      </w:pPr>
      <w:rPr>
        <w:rFonts w:ascii="Arial" w:hAnsi="Arial" w:hint="default"/>
        <w:i/>
        <w:sz w:val="20"/>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27" w15:restartNumberingAfterBreak="0">
    <w:nsid w:val="69232308"/>
    <w:multiLevelType w:val="hybridMultilevel"/>
    <w:tmpl w:val="35C42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5070A0"/>
    <w:multiLevelType w:val="hybridMultilevel"/>
    <w:tmpl w:val="238E610E"/>
    <w:lvl w:ilvl="0" w:tplc="C448ADA4">
      <w:numFmt w:val="bullet"/>
      <w:pStyle w:val="ListParagraph"/>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C00750"/>
    <w:multiLevelType w:val="hybridMultilevel"/>
    <w:tmpl w:val="5DA4DB98"/>
    <w:lvl w:ilvl="0" w:tplc="0C0683D8">
      <w:start w:val="1"/>
      <w:numFmt w:val="bullet"/>
      <w:lvlText w:val="•"/>
      <w:lvlJc w:val="left"/>
      <w:pPr>
        <w:ind w:left="720" w:hanging="360"/>
      </w:pPr>
    </w:lvl>
    <w:lvl w:ilvl="1" w:tplc="9D6007FC">
      <w:start w:val="1"/>
      <w:numFmt w:val="bullet"/>
      <w:lvlText w:val="○"/>
      <w:lvlJc w:val="left"/>
      <w:pPr>
        <w:ind w:left="1080" w:hanging="360"/>
      </w:pPr>
    </w:lvl>
    <w:lvl w:ilvl="2" w:tplc="8DCE7AE4">
      <w:numFmt w:val="decimal"/>
      <w:lvlText w:val=""/>
      <w:lvlJc w:val="left"/>
    </w:lvl>
    <w:lvl w:ilvl="3" w:tplc="F4E8EB36">
      <w:numFmt w:val="decimal"/>
      <w:lvlText w:val=""/>
      <w:lvlJc w:val="left"/>
    </w:lvl>
    <w:lvl w:ilvl="4" w:tplc="315C27EA">
      <w:numFmt w:val="decimal"/>
      <w:lvlText w:val=""/>
      <w:lvlJc w:val="left"/>
    </w:lvl>
    <w:lvl w:ilvl="5" w:tplc="C72A198E">
      <w:numFmt w:val="decimal"/>
      <w:lvlText w:val=""/>
      <w:lvlJc w:val="left"/>
    </w:lvl>
    <w:lvl w:ilvl="6" w:tplc="BFF8FF5E">
      <w:numFmt w:val="decimal"/>
      <w:lvlText w:val=""/>
      <w:lvlJc w:val="left"/>
    </w:lvl>
    <w:lvl w:ilvl="7" w:tplc="76AC49DC">
      <w:numFmt w:val="decimal"/>
      <w:lvlText w:val=""/>
      <w:lvlJc w:val="left"/>
    </w:lvl>
    <w:lvl w:ilvl="8" w:tplc="F2E03D7E">
      <w:numFmt w:val="decimal"/>
      <w:lvlText w:val=""/>
      <w:lvlJc w:val="left"/>
    </w:lvl>
  </w:abstractNum>
  <w:abstractNum w:abstractNumId="30" w15:restartNumberingAfterBreak="0">
    <w:nsid w:val="743A216F"/>
    <w:multiLevelType w:val="hybridMultilevel"/>
    <w:tmpl w:val="8D601C50"/>
    <w:lvl w:ilvl="0" w:tplc="8D72EC2C">
      <w:start w:val="1"/>
      <w:numFmt w:val="bullet"/>
      <w:lvlText w:val="•"/>
      <w:lvlJc w:val="left"/>
      <w:pPr>
        <w:ind w:left="720" w:hanging="360"/>
      </w:pPr>
    </w:lvl>
    <w:lvl w:ilvl="1" w:tplc="E8CEC498">
      <w:numFmt w:val="decimal"/>
      <w:lvlText w:val=""/>
      <w:lvlJc w:val="left"/>
    </w:lvl>
    <w:lvl w:ilvl="2" w:tplc="6FC66AE8">
      <w:numFmt w:val="decimal"/>
      <w:lvlText w:val=""/>
      <w:lvlJc w:val="left"/>
    </w:lvl>
    <w:lvl w:ilvl="3" w:tplc="DFAC4F6A">
      <w:numFmt w:val="decimal"/>
      <w:lvlText w:val=""/>
      <w:lvlJc w:val="left"/>
    </w:lvl>
    <w:lvl w:ilvl="4" w:tplc="E9B8E7F0">
      <w:numFmt w:val="decimal"/>
      <w:lvlText w:val=""/>
      <w:lvlJc w:val="left"/>
    </w:lvl>
    <w:lvl w:ilvl="5" w:tplc="A8B4B026">
      <w:numFmt w:val="decimal"/>
      <w:lvlText w:val=""/>
      <w:lvlJc w:val="left"/>
    </w:lvl>
    <w:lvl w:ilvl="6" w:tplc="416C4C8E">
      <w:numFmt w:val="decimal"/>
      <w:lvlText w:val=""/>
      <w:lvlJc w:val="left"/>
    </w:lvl>
    <w:lvl w:ilvl="7" w:tplc="7B88A30A">
      <w:numFmt w:val="decimal"/>
      <w:lvlText w:val=""/>
      <w:lvlJc w:val="left"/>
    </w:lvl>
    <w:lvl w:ilvl="8" w:tplc="62F24EB6">
      <w:numFmt w:val="decimal"/>
      <w:lvlText w:val=""/>
      <w:lvlJc w:val="left"/>
    </w:lvl>
  </w:abstractNum>
  <w:abstractNum w:abstractNumId="31" w15:restartNumberingAfterBreak="0">
    <w:nsid w:val="79CB31AE"/>
    <w:multiLevelType w:val="hybridMultilevel"/>
    <w:tmpl w:val="608098F6"/>
    <w:lvl w:ilvl="0" w:tplc="7902C15C">
      <w:start w:val="1"/>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4850392">
    <w:abstractNumId w:val="1"/>
  </w:num>
  <w:num w:numId="2" w16cid:durableId="1570269310">
    <w:abstractNumId w:val="0"/>
  </w:num>
  <w:num w:numId="3" w16cid:durableId="808134642">
    <w:abstractNumId w:val="26"/>
  </w:num>
  <w:num w:numId="4" w16cid:durableId="668139947">
    <w:abstractNumId w:val="8"/>
  </w:num>
  <w:num w:numId="5" w16cid:durableId="1076896075">
    <w:abstractNumId w:val="24"/>
    <w:lvlOverride w:ilvl="0">
      <w:lvl w:ilvl="0">
        <w:start w:val="1"/>
        <w:numFmt w:val="decimal"/>
        <w:pStyle w:val="NumberedHeading1"/>
        <w:lvlText w:val="Chapter %1: "/>
        <w:lvlJc w:val="left"/>
        <w:pPr>
          <w:ind w:left="360" w:hanging="360"/>
        </w:pPr>
        <w:rPr>
          <w:rFonts w:hint="default"/>
        </w:rPr>
      </w:lvl>
    </w:lvlOverride>
    <w:lvlOverride w:ilvl="1">
      <w:lvl w:ilvl="1">
        <w:start w:val="1"/>
        <w:numFmt w:val="decimal"/>
        <w:pStyle w:val="NumberedHeading2"/>
        <w:lvlText w:val="%1.%2."/>
        <w:lvlJc w:val="left"/>
        <w:pPr>
          <w:ind w:left="1080" w:hanging="360"/>
        </w:pPr>
        <w:rPr>
          <w:rFonts w:hint="default"/>
        </w:rPr>
      </w:lvl>
    </w:lvlOverride>
    <w:lvlOverride w:ilvl="2">
      <w:lvl w:ilvl="2">
        <w:start w:val="1"/>
        <w:numFmt w:val="decimal"/>
        <w:pStyle w:val="NumberedHeading3"/>
        <w:lvlText w:val="%1.%2.%3."/>
        <w:lvlJc w:val="right"/>
        <w:pPr>
          <w:ind w:left="1800" w:hanging="180"/>
        </w:pPr>
        <w:rPr>
          <w:rFonts w:hint="default"/>
        </w:rPr>
      </w:lvl>
    </w:lvlOverride>
    <w:lvlOverride w:ilvl="3">
      <w:lvl w:ilvl="3">
        <w:start w:val="1"/>
        <w:numFmt w:val="decimal"/>
        <w:lvlText w:val="%1.%2.%3.%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6" w16cid:durableId="833838444">
    <w:abstractNumId w:val="2"/>
    <w:lvlOverride w:ilvl="0">
      <w:startOverride w:val="1"/>
    </w:lvlOverride>
  </w:num>
  <w:num w:numId="7" w16cid:durableId="396362926">
    <w:abstractNumId w:val="29"/>
    <w:lvlOverride w:ilvl="0">
      <w:startOverride w:val="1"/>
    </w:lvlOverride>
  </w:num>
  <w:num w:numId="8" w16cid:durableId="354424831">
    <w:abstractNumId w:val="4"/>
    <w:lvlOverride w:ilvl="0">
      <w:startOverride w:val="1"/>
    </w:lvlOverride>
  </w:num>
  <w:num w:numId="9" w16cid:durableId="1442068014">
    <w:abstractNumId w:val="19"/>
  </w:num>
  <w:num w:numId="10" w16cid:durableId="1084687019">
    <w:abstractNumId w:val="5"/>
  </w:num>
  <w:num w:numId="11" w16cid:durableId="365836044">
    <w:abstractNumId w:val="7"/>
  </w:num>
  <w:num w:numId="12" w16cid:durableId="572931960">
    <w:abstractNumId w:val="16"/>
    <w:lvlOverride w:ilvl="0">
      <w:startOverride w:val="1"/>
    </w:lvlOverride>
  </w:num>
  <w:num w:numId="13" w16cid:durableId="708263458">
    <w:abstractNumId w:val="13"/>
    <w:lvlOverride w:ilvl="0">
      <w:startOverride w:val="1"/>
    </w:lvlOverride>
  </w:num>
  <w:num w:numId="14" w16cid:durableId="705371471">
    <w:abstractNumId w:val="9"/>
    <w:lvlOverride w:ilvl="0">
      <w:startOverride w:val="1"/>
    </w:lvlOverride>
  </w:num>
  <w:num w:numId="15" w16cid:durableId="1573662979">
    <w:abstractNumId w:val="30"/>
    <w:lvlOverride w:ilvl="0">
      <w:startOverride w:val="1"/>
    </w:lvlOverride>
  </w:num>
  <w:num w:numId="16" w16cid:durableId="1805926749">
    <w:abstractNumId w:val="20"/>
    <w:lvlOverride w:ilvl="0">
      <w:startOverride w:val="1"/>
    </w:lvlOverride>
  </w:num>
  <w:num w:numId="17" w16cid:durableId="1258634079">
    <w:abstractNumId w:val="27"/>
  </w:num>
  <w:num w:numId="18" w16cid:durableId="274675025">
    <w:abstractNumId w:val="28"/>
  </w:num>
  <w:num w:numId="19" w16cid:durableId="1364399081">
    <w:abstractNumId w:val="6"/>
  </w:num>
  <w:num w:numId="20" w16cid:durableId="1458059635">
    <w:abstractNumId w:val="10"/>
  </w:num>
  <w:num w:numId="21" w16cid:durableId="1289161287">
    <w:abstractNumId w:val="31"/>
  </w:num>
  <w:num w:numId="22" w16cid:durableId="1296259983">
    <w:abstractNumId w:val="28"/>
  </w:num>
  <w:num w:numId="23" w16cid:durableId="1351877536">
    <w:abstractNumId w:val="21"/>
  </w:num>
  <w:num w:numId="24" w16cid:durableId="805585808">
    <w:abstractNumId w:val="17"/>
  </w:num>
  <w:num w:numId="25" w16cid:durableId="1681006001">
    <w:abstractNumId w:val="23"/>
  </w:num>
  <w:num w:numId="26" w16cid:durableId="354356422">
    <w:abstractNumId w:val="18"/>
  </w:num>
  <w:num w:numId="27" w16cid:durableId="1163084583">
    <w:abstractNumId w:val="0"/>
    <w:lvlOverride w:ilvl="0">
      <w:startOverride w:val="1"/>
    </w:lvlOverride>
  </w:num>
  <w:num w:numId="28" w16cid:durableId="1909997806">
    <w:abstractNumId w:val="11"/>
  </w:num>
  <w:num w:numId="29" w16cid:durableId="1488597507">
    <w:abstractNumId w:val="0"/>
    <w:lvlOverride w:ilvl="0">
      <w:startOverride w:val="1"/>
    </w:lvlOverride>
  </w:num>
  <w:num w:numId="30" w16cid:durableId="2111047170">
    <w:abstractNumId w:val="0"/>
    <w:lvlOverride w:ilvl="0">
      <w:startOverride w:val="1"/>
    </w:lvlOverride>
  </w:num>
  <w:num w:numId="31" w16cid:durableId="439766328">
    <w:abstractNumId w:val="14"/>
  </w:num>
  <w:num w:numId="32" w16cid:durableId="1642811072">
    <w:abstractNumId w:val="0"/>
    <w:lvlOverride w:ilvl="0">
      <w:startOverride w:val="1"/>
    </w:lvlOverride>
  </w:num>
  <w:num w:numId="33" w16cid:durableId="904072474">
    <w:abstractNumId w:val="0"/>
    <w:lvlOverride w:ilvl="0">
      <w:startOverride w:val="1"/>
    </w:lvlOverride>
  </w:num>
  <w:num w:numId="34" w16cid:durableId="1883711385">
    <w:abstractNumId w:val="25"/>
  </w:num>
  <w:num w:numId="35" w16cid:durableId="962616660">
    <w:abstractNumId w:val="15"/>
  </w:num>
  <w:num w:numId="36" w16cid:durableId="488785566">
    <w:abstractNumId w:val="22"/>
  </w:num>
  <w:num w:numId="37" w16cid:durableId="1289244417">
    <w:abstractNumId w:val="12"/>
  </w:num>
  <w:num w:numId="38" w16cid:durableId="39185394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EE"/>
    <w:rsid w:val="00001911"/>
    <w:rsid w:val="00002D7C"/>
    <w:rsid w:val="0000311A"/>
    <w:rsid w:val="00010121"/>
    <w:rsid w:val="000125C7"/>
    <w:rsid w:val="00013BFB"/>
    <w:rsid w:val="00016723"/>
    <w:rsid w:val="000169A8"/>
    <w:rsid w:val="00017F32"/>
    <w:rsid w:val="000207BE"/>
    <w:rsid w:val="00024E05"/>
    <w:rsid w:val="00026BC4"/>
    <w:rsid w:val="00026C5A"/>
    <w:rsid w:val="00027B86"/>
    <w:rsid w:val="00027C84"/>
    <w:rsid w:val="000301CA"/>
    <w:rsid w:val="00030E23"/>
    <w:rsid w:val="00031EC8"/>
    <w:rsid w:val="00034273"/>
    <w:rsid w:val="00035417"/>
    <w:rsid w:val="00043C41"/>
    <w:rsid w:val="000446F8"/>
    <w:rsid w:val="000517B0"/>
    <w:rsid w:val="0005236E"/>
    <w:rsid w:val="0005321C"/>
    <w:rsid w:val="0005330D"/>
    <w:rsid w:val="0005443F"/>
    <w:rsid w:val="000564D4"/>
    <w:rsid w:val="00057FBF"/>
    <w:rsid w:val="0006147F"/>
    <w:rsid w:val="000618A7"/>
    <w:rsid w:val="00064264"/>
    <w:rsid w:val="00065D91"/>
    <w:rsid w:val="00066042"/>
    <w:rsid w:val="0007128A"/>
    <w:rsid w:val="00071553"/>
    <w:rsid w:val="00071E2B"/>
    <w:rsid w:val="00073BB4"/>
    <w:rsid w:val="00076423"/>
    <w:rsid w:val="00077804"/>
    <w:rsid w:val="000802F6"/>
    <w:rsid w:val="000814F6"/>
    <w:rsid w:val="00086FB5"/>
    <w:rsid w:val="000926FF"/>
    <w:rsid w:val="00093CCC"/>
    <w:rsid w:val="000949BD"/>
    <w:rsid w:val="00094C98"/>
    <w:rsid w:val="00094FF1"/>
    <w:rsid w:val="00097CCA"/>
    <w:rsid w:val="000A094E"/>
    <w:rsid w:val="000A34A5"/>
    <w:rsid w:val="000A5069"/>
    <w:rsid w:val="000B051F"/>
    <w:rsid w:val="000B3F3A"/>
    <w:rsid w:val="000B4F4C"/>
    <w:rsid w:val="000B7810"/>
    <w:rsid w:val="000C07AF"/>
    <w:rsid w:val="000C1F9C"/>
    <w:rsid w:val="000C61B1"/>
    <w:rsid w:val="000C762E"/>
    <w:rsid w:val="000D17F6"/>
    <w:rsid w:val="000D395D"/>
    <w:rsid w:val="000D588F"/>
    <w:rsid w:val="000D7DD8"/>
    <w:rsid w:val="000D7FF3"/>
    <w:rsid w:val="000E0C8F"/>
    <w:rsid w:val="000E1801"/>
    <w:rsid w:val="000E32FD"/>
    <w:rsid w:val="000E3D3A"/>
    <w:rsid w:val="000E4706"/>
    <w:rsid w:val="000E4E03"/>
    <w:rsid w:val="000E5FFF"/>
    <w:rsid w:val="000E775D"/>
    <w:rsid w:val="000F00B7"/>
    <w:rsid w:val="000F4C3B"/>
    <w:rsid w:val="000F5753"/>
    <w:rsid w:val="000F5EE5"/>
    <w:rsid w:val="00100402"/>
    <w:rsid w:val="00102924"/>
    <w:rsid w:val="001045E4"/>
    <w:rsid w:val="00105BEA"/>
    <w:rsid w:val="00107BDF"/>
    <w:rsid w:val="0011071A"/>
    <w:rsid w:val="0011154A"/>
    <w:rsid w:val="00111ED3"/>
    <w:rsid w:val="001168DB"/>
    <w:rsid w:val="001173D5"/>
    <w:rsid w:val="001220E5"/>
    <w:rsid w:val="001222ED"/>
    <w:rsid w:val="001231E0"/>
    <w:rsid w:val="0012372A"/>
    <w:rsid w:val="001241EE"/>
    <w:rsid w:val="00125920"/>
    <w:rsid w:val="001301C1"/>
    <w:rsid w:val="0013074A"/>
    <w:rsid w:val="001323E9"/>
    <w:rsid w:val="00132BC1"/>
    <w:rsid w:val="00135309"/>
    <w:rsid w:val="00136441"/>
    <w:rsid w:val="00137163"/>
    <w:rsid w:val="00140F7D"/>
    <w:rsid w:val="00142047"/>
    <w:rsid w:val="00142722"/>
    <w:rsid w:val="00142A93"/>
    <w:rsid w:val="001461D2"/>
    <w:rsid w:val="00151D70"/>
    <w:rsid w:val="00152CEB"/>
    <w:rsid w:val="00153D89"/>
    <w:rsid w:val="001542BE"/>
    <w:rsid w:val="001542DA"/>
    <w:rsid w:val="0015453F"/>
    <w:rsid w:val="00154952"/>
    <w:rsid w:val="00157219"/>
    <w:rsid w:val="00161AB8"/>
    <w:rsid w:val="001623F8"/>
    <w:rsid w:val="001640B7"/>
    <w:rsid w:val="00164598"/>
    <w:rsid w:val="001660F5"/>
    <w:rsid w:val="00173896"/>
    <w:rsid w:val="0017487F"/>
    <w:rsid w:val="0017504F"/>
    <w:rsid w:val="001853E3"/>
    <w:rsid w:val="00187469"/>
    <w:rsid w:val="001874CE"/>
    <w:rsid w:val="00190132"/>
    <w:rsid w:val="00192165"/>
    <w:rsid w:val="00195782"/>
    <w:rsid w:val="00196599"/>
    <w:rsid w:val="00196626"/>
    <w:rsid w:val="0019769A"/>
    <w:rsid w:val="00197EA1"/>
    <w:rsid w:val="001A0F75"/>
    <w:rsid w:val="001A1141"/>
    <w:rsid w:val="001A1BE9"/>
    <w:rsid w:val="001A2A80"/>
    <w:rsid w:val="001B2095"/>
    <w:rsid w:val="001B2113"/>
    <w:rsid w:val="001B215A"/>
    <w:rsid w:val="001B2B46"/>
    <w:rsid w:val="001B2CDD"/>
    <w:rsid w:val="001B53C5"/>
    <w:rsid w:val="001B577F"/>
    <w:rsid w:val="001B5EB7"/>
    <w:rsid w:val="001C0167"/>
    <w:rsid w:val="001C130D"/>
    <w:rsid w:val="001C14D8"/>
    <w:rsid w:val="001C2437"/>
    <w:rsid w:val="001C27B8"/>
    <w:rsid w:val="001C4E09"/>
    <w:rsid w:val="001C592F"/>
    <w:rsid w:val="001C61D0"/>
    <w:rsid w:val="001C6B30"/>
    <w:rsid w:val="001C6E04"/>
    <w:rsid w:val="001E0917"/>
    <w:rsid w:val="001E1660"/>
    <w:rsid w:val="001E1679"/>
    <w:rsid w:val="001E387E"/>
    <w:rsid w:val="001E678C"/>
    <w:rsid w:val="001E6CA9"/>
    <w:rsid w:val="001F2779"/>
    <w:rsid w:val="001F34E0"/>
    <w:rsid w:val="001F3BAF"/>
    <w:rsid w:val="001F4E70"/>
    <w:rsid w:val="001F5E79"/>
    <w:rsid w:val="00201F88"/>
    <w:rsid w:val="00206428"/>
    <w:rsid w:val="00206612"/>
    <w:rsid w:val="00207F1F"/>
    <w:rsid w:val="0021022E"/>
    <w:rsid w:val="00210711"/>
    <w:rsid w:val="00211C29"/>
    <w:rsid w:val="002120CE"/>
    <w:rsid w:val="00212D57"/>
    <w:rsid w:val="0021322E"/>
    <w:rsid w:val="00214BF3"/>
    <w:rsid w:val="00214D54"/>
    <w:rsid w:val="00214F07"/>
    <w:rsid w:val="00220E8E"/>
    <w:rsid w:val="00225134"/>
    <w:rsid w:val="0023228D"/>
    <w:rsid w:val="00232687"/>
    <w:rsid w:val="00233A13"/>
    <w:rsid w:val="0023401A"/>
    <w:rsid w:val="0023686D"/>
    <w:rsid w:val="00240D4D"/>
    <w:rsid w:val="0024159F"/>
    <w:rsid w:val="002441FE"/>
    <w:rsid w:val="00244838"/>
    <w:rsid w:val="002470C6"/>
    <w:rsid w:val="00247260"/>
    <w:rsid w:val="002473F1"/>
    <w:rsid w:val="00250E05"/>
    <w:rsid w:val="00251ED2"/>
    <w:rsid w:val="00252B7D"/>
    <w:rsid w:val="00253278"/>
    <w:rsid w:val="002534DA"/>
    <w:rsid w:val="0025757E"/>
    <w:rsid w:val="00257E78"/>
    <w:rsid w:val="00260772"/>
    <w:rsid w:val="00261111"/>
    <w:rsid w:val="00261643"/>
    <w:rsid w:val="00261C91"/>
    <w:rsid w:val="00262437"/>
    <w:rsid w:val="00264F05"/>
    <w:rsid w:val="00265F3A"/>
    <w:rsid w:val="002662A9"/>
    <w:rsid w:val="00267F2D"/>
    <w:rsid w:val="0027031D"/>
    <w:rsid w:val="00271770"/>
    <w:rsid w:val="0027194C"/>
    <w:rsid w:val="00271CE9"/>
    <w:rsid w:val="00272562"/>
    <w:rsid w:val="00272B98"/>
    <w:rsid w:val="002763DD"/>
    <w:rsid w:val="00277858"/>
    <w:rsid w:val="002779CD"/>
    <w:rsid w:val="002800D8"/>
    <w:rsid w:val="002806CA"/>
    <w:rsid w:val="0028279C"/>
    <w:rsid w:val="0028366A"/>
    <w:rsid w:val="002879D2"/>
    <w:rsid w:val="0029010B"/>
    <w:rsid w:val="00290514"/>
    <w:rsid w:val="002909CF"/>
    <w:rsid w:val="0029260C"/>
    <w:rsid w:val="00294776"/>
    <w:rsid w:val="0029566C"/>
    <w:rsid w:val="002A0191"/>
    <w:rsid w:val="002A1735"/>
    <w:rsid w:val="002A572D"/>
    <w:rsid w:val="002A5B33"/>
    <w:rsid w:val="002A7441"/>
    <w:rsid w:val="002A7D8D"/>
    <w:rsid w:val="002B162C"/>
    <w:rsid w:val="002B2CBF"/>
    <w:rsid w:val="002B3D29"/>
    <w:rsid w:val="002B4E3B"/>
    <w:rsid w:val="002B6124"/>
    <w:rsid w:val="002B6590"/>
    <w:rsid w:val="002B6672"/>
    <w:rsid w:val="002C0D76"/>
    <w:rsid w:val="002C1515"/>
    <w:rsid w:val="002C1589"/>
    <w:rsid w:val="002C1730"/>
    <w:rsid w:val="002C20DC"/>
    <w:rsid w:val="002C2114"/>
    <w:rsid w:val="002C26CC"/>
    <w:rsid w:val="002C2761"/>
    <w:rsid w:val="002D08F9"/>
    <w:rsid w:val="002D1317"/>
    <w:rsid w:val="002D150A"/>
    <w:rsid w:val="002D1F7C"/>
    <w:rsid w:val="002D3EB5"/>
    <w:rsid w:val="002D4C1B"/>
    <w:rsid w:val="002D6A08"/>
    <w:rsid w:val="002D6C4C"/>
    <w:rsid w:val="002E052E"/>
    <w:rsid w:val="002E078B"/>
    <w:rsid w:val="002E2035"/>
    <w:rsid w:val="002E26F2"/>
    <w:rsid w:val="002E3681"/>
    <w:rsid w:val="002E39E6"/>
    <w:rsid w:val="002E43D0"/>
    <w:rsid w:val="002E4E83"/>
    <w:rsid w:val="002E7E84"/>
    <w:rsid w:val="002F295C"/>
    <w:rsid w:val="002F7256"/>
    <w:rsid w:val="002F7424"/>
    <w:rsid w:val="002F79D9"/>
    <w:rsid w:val="002F7CE4"/>
    <w:rsid w:val="003022D5"/>
    <w:rsid w:val="00303683"/>
    <w:rsid w:val="00303EF6"/>
    <w:rsid w:val="00306AFF"/>
    <w:rsid w:val="003117AD"/>
    <w:rsid w:val="003132BE"/>
    <w:rsid w:val="00314063"/>
    <w:rsid w:val="003147B0"/>
    <w:rsid w:val="00316B7D"/>
    <w:rsid w:val="00316D3D"/>
    <w:rsid w:val="00317A4B"/>
    <w:rsid w:val="00320A4F"/>
    <w:rsid w:val="00320CA7"/>
    <w:rsid w:val="00323C26"/>
    <w:rsid w:val="003247D7"/>
    <w:rsid w:val="00326C86"/>
    <w:rsid w:val="00326E5E"/>
    <w:rsid w:val="00331398"/>
    <w:rsid w:val="00331CB5"/>
    <w:rsid w:val="00331CD7"/>
    <w:rsid w:val="0033208B"/>
    <w:rsid w:val="003366DB"/>
    <w:rsid w:val="00336A34"/>
    <w:rsid w:val="0033792B"/>
    <w:rsid w:val="0034114D"/>
    <w:rsid w:val="003412CE"/>
    <w:rsid w:val="00341904"/>
    <w:rsid w:val="0034304E"/>
    <w:rsid w:val="0034363C"/>
    <w:rsid w:val="00343814"/>
    <w:rsid w:val="00344801"/>
    <w:rsid w:val="00353341"/>
    <w:rsid w:val="00353D75"/>
    <w:rsid w:val="00353FDB"/>
    <w:rsid w:val="00355210"/>
    <w:rsid w:val="00355C01"/>
    <w:rsid w:val="00355F78"/>
    <w:rsid w:val="00357866"/>
    <w:rsid w:val="00360D72"/>
    <w:rsid w:val="003615E8"/>
    <w:rsid w:val="0036175C"/>
    <w:rsid w:val="0036274E"/>
    <w:rsid w:val="003663D1"/>
    <w:rsid w:val="003672F8"/>
    <w:rsid w:val="00367D34"/>
    <w:rsid w:val="00371B05"/>
    <w:rsid w:val="00372EDD"/>
    <w:rsid w:val="00373651"/>
    <w:rsid w:val="00374396"/>
    <w:rsid w:val="00377B90"/>
    <w:rsid w:val="00380D59"/>
    <w:rsid w:val="00381D0A"/>
    <w:rsid w:val="00381F2B"/>
    <w:rsid w:val="00383B4B"/>
    <w:rsid w:val="00385240"/>
    <w:rsid w:val="0039064C"/>
    <w:rsid w:val="0039369D"/>
    <w:rsid w:val="00394058"/>
    <w:rsid w:val="00394CBB"/>
    <w:rsid w:val="00397D68"/>
    <w:rsid w:val="003A1240"/>
    <w:rsid w:val="003A3BE0"/>
    <w:rsid w:val="003A5966"/>
    <w:rsid w:val="003A5ACD"/>
    <w:rsid w:val="003B0FFD"/>
    <w:rsid w:val="003B35DD"/>
    <w:rsid w:val="003B4927"/>
    <w:rsid w:val="003B574C"/>
    <w:rsid w:val="003B7A04"/>
    <w:rsid w:val="003C14CB"/>
    <w:rsid w:val="003C3391"/>
    <w:rsid w:val="003C5C7F"/>
    <w:rsid w:val="003D1783"/>
    <w:rsid w:val="003D1D93"/>
    <w:rsid w:val="003D29E6"/>
    <w:rsid w:val="003D2FD1"/>
    <w:rsid w:val="003D4DE7"/>
    <w:rsid w:val="003E03A4"/>
    <w:rsid w:val="003E0659"/>
    <w:rsid w:val="003E090F"/>
    <w:rsid w:val="003E2117"/>
    <w:rsid w:val="003E305F"/>
    <w:rsid w:val="003E5392"/>
    <w:rsid w:val="003E62A5"/>
    <w:rsid w:val="003E7C5F"/>
    <w:rsid w:val="003F04EA"/>
    <w:rsid w:val="003F0B6B"/>
    <w:rsid w:val="003F24D4"/>
    <w:rsid w:val="003F28F8"/>
    <w:rsid w:val="003F2D0D"/>
    <w:rsid w:val="003F5670"/>
    <w:rsid w:val="003F655D"/>
    <w:rsid w:val="003F6D89"/>
    <w:rsid w:val="004008EB"/>
    <w:rsid w:val="00400B37"/>
    <w:rsid w:val="00401AC9"/>
    <w:rsid w:val="00401E68"/>
    <w:rsid w:val="00402515"/>
    <w:rsid w:val="00402FB6"/>
    <w:rsid w:val="00403F91"/>
    <w:rsid w:val="004056DE"/>
    <w:rsid w:val="00410045"/>
    <w:rsid w:val="00410EEC"/>
    <w:rsid w:val="004148F4"/>
    <w:rsid w:val="0041736A"/>
    <w:rsid w:val="00417F84"/>
    <w:rsid w:val="0042302D"/>
    <w:rsid w:val="004230C4"/>
    <w:rsid w:val="00423B70"/>
    <w:rsid w:val="004248F8"/>
    <w:rsid w:val="00424E56"/>
    <w:rsid w:val="004253AB"/>
    <w:rsid w:val="0042579C"/>
    <w:rsid w:val="00427338"/>
    <w:rsid w:val="00430775"/>
    <w:rsid w:val="004321B8"/>
    <w:rsid w:val="004323C3"/>
    <w:rsid w:val="00433DA6"/>
    <w:rsid w:val="00434C57"/>
    <w:rsid w:val="00434CB6"/>
    <w:rsid w:val="00436FD8"/>
    <w:rsid w:val="004376C0"/>
    <w:rsid w:val="00437B98"/>
    <w:rsid w:val="00440947"/>
    <w:rsid w:val="0044237A"/>
    <w:rsid w:val="00442FA0"/>
    <w:rsid w:val="004433E5"/>
    <w:rsid w:val="00443CD8"/>
    <w:rsid w:val="00444247"/>
    <w:rsid w:val="00444D82"/>
    <w:rsid w:val="00445D9C"/>
    <w:rsid w:val="00445E31"/>
    <w:rsid w:val="00453C4C"/>
    <w:rsid w:val="00454EF5"/>
    <w:rsid w:val="004556D5"/>
    <w:rsid w:val="004560F0"/>
    <w:rsid w:val="00457749"/>
    <w:rsid w:val="00460A76"/>
    <w:rsid w:val="0046111D"/>
    <w:rsid w:val="004630E9"/>
    <w:rsid w:val="004636D9"/>
    <w:rsid w:val="0046390E"/>
    <w:rsid w:val="00463ABB"/>
    <w:rsid w:val="00467B58"/>
    <w:rsid w:val="00472B30"/>
    <w:rsid w:val="00473B8A"/>
    <w:rsid w:val="00475364"/>
    <w:rsid w:val="00475D39"/>
    <w:rsid w:val="004776F3"/>
    <w:rsid w:val="00477F02"/>
    <w:rsid w:val="004808B6"/>
    <w:rsid w:val="004842DF"/>
    <w:rsid w:val="0048515A"/>
    <w:rsid w:val="00490C13"/>
    <w:rsid w:val="004921C6"/>
    <w:rsid w:val="00493DA3"/>
    <w:rsid w:val="00494E81"/>
    <w:rsid w:val="00496C6E"/>
    <w:rsid w:val="004A0EAD"/>
    <w:rsid w:val="004A1EF8"/>
    <w:rsid w:val="004A5909"/>
    <w:rsid w:val="004A5CD7"/>
    <w:rsid w:val="004B0E5E"/>
    <w:rsid w:val="004B3434"/>
    <w:rsid w:val="004B6153"/>
    <w:rsid w:val="004C066B"/>
    <w:rsid w:val="004C0900"/>
    <w:rsid w:val="004C0FBD"/>
    <w:rsid w:val="004C23C7"/>
    <w:rsid w:val="004C55FA"/>
    <w:rsid w:val="004D002A"/>
    <w:rsid w:val="004D0E24"/>
    <w:rsid w:val="004D1E21"/>
    <w:rsid w:val="004D4CBF"/>
    <w:rsid w:val="004D5ABB"/>
    <w:rsid w:val="004D6924"/>
    <w:rsid w:val="004D6DFC"/>
    <w:rsid w:val="004D71C5"/>
    <w:rsid w:val="004E002F"/>
    <w:rsid w:val="004E03ED"/>
    <w:rsid w:val="004E60B1"/>
    <w:rsid w:val="004E6AC9"/>
    <w:rsid w:val="004E7BB4"/>
    <w:rsid w:val="004F253F"/>
    <w:rsid w:val="004F2E7B"/>
    <w:rsid w:val="004F5021"/>
    <w:rsid w:val="004F697B"/>
    <w:rsid w:val="00502B87"/>
    <w:rsid w:val="005051A2"/>
    <w:rsid w:val="00505FAD"/>
    <w:rsid w:val="00506767"/>
    <w:rsid w:val="0051555A"/>
    <w:rsid w:val="0051620C"/>
    <w:rsid w:val="00521726"/>
    <w:rsid w:val="005223FE"/>
    <w:rsid w:val="005226C0"/>
    <w:rsid w:val="005229D5"/>
    <w:rsid w:val="0052358D"/>
    <w:rsid w:val="00523B29"/>
    <w:rsid w:val="00524FE6"/>
    <w:rsid w:val="00530157"/>
    <w:rsid w:val="00531DDE"/>
    <w:rsid w:val="0053357D"/>
    <w:rsid w:val="005349A2"/>
    <w:rsid w:val="00535065"/>
    <w:rsid w:val="00541F38"/>
    <w:rsid w:val="00543E78"/>
    <w:rsid w:val="00545E07"/>
    <w:rsid w:val="00546977"/>
    <w:rsid w:val="00550F27"/>
    <w:rsid w:val="00551B81"/>
    <w:rsid w:val="00554997"/>
    <w:rsid w:val="0056066C"/>
    <w:rsid w:val="00560F6B"/>
    <w:rsid w:val="00561264"/>
    <w:rsid w:val="005618AE"/>
    <w:rsid w:val="0056434F"/>
    <w:rsid w:val="00564462"/>
    <w:rsid w:val="00564A3A"/>
    <w:rsid w:val="005662CD"/>
    <w:rsid w:val="00571375"/>
    <w:rsid w:val="00576C95"/>
    <w:rsid w:val="005776EE"/>
    <w:rsid w:val="00580D8F"/>
    <w:rsid w:val="00582798"/>
    <w:rsid w:val="00583339"/>
    <w:rsid w:val="00583430"/>
    <w:rsid w:val="00583993"/>
    <w:rsid w:val="00584F0C"/>
    <w:rsid w:val="00586CF7"/>
    <w:rsid w:val="00591FDF"/>
    <w:rsid w:val="005933A5"/>
    <w:rsid w:val="0059554B"/>
    <w:rsid w:val="00597773"/>
    <w:rsid w:val="005A10BB"/>
    <w:rsid w:val="005A2DB3"/>
    <w:rsid w:val="005A3CEB"/>
    <w:rsid w:val="005A4237"/>
    <w:rsid w:val="005A627C"/>
    <w:rsid w:val="005B1322"/>
    <w:rsid w:val="005B17F2"/>
    <w:rsid w:val="005B348F"/>
    <w:rsid w:val="005B35D4"/>
    <w:rsid w:val="005B50AC"/>
    <w:rsid w:val="005B528A"/>
    <w:rsid w:val="005B78C0"/>
    <w:rsid w:val="005C2777"/>
    <w:rsid w:val="005C2B7A"/>
    <w:rsid w:val="005C3AAC"/>
    <w:rsid w:val="005C4BD6"/>
    <w:rsid w:val="005C5564"/>
    <w:rsid w:val="005C7073"/>
    <w:rsid w:val="005C79E3"/>
    <w:rsid w:val="005D0DE0"/>
    <w:rsid w:val="005D32BA"/>
    <w:rsid w:val="005D6912"/>
    <w:rsid w:val="005D7B11"/>
    <w:rsid w:val="005E00A9"/>
    <w:rsid w:val="005E02FE"/>
    <w:rsid w:val="005E1047"/>
    <w:rsid w:val="005E194F"/>
    <w:rsid w:val="005E2989"/>
    <w:rsid w:val="005E35B5"/>
    <w:rsid w:val="005E443E"/>
    <w:rsid w:val="005E6F62"/>
    <w:rsid w:val="005F0192"/>
    <w:rsid w:val="005F34C2"/>
    <w:rsid w:val="005F42D8"/>
    <w:rsid w:val="005F4E90"/>
    <w:rsid w:val="005F7664"/>
    <w:rsid w:val="00600784"/>
    <w:rsid w:val="00604C02"/>
    <w:rsid w:val="006050FF"/>
    <w:rsid w:val="00607017"/>
    <w:rsid w:val="00607238"/>
    <w:rsid w:val="00611C06"/>
    <w:rsid w:val="00612EF5"/>
    <w:rsid w:val="00613648"/>
    <w:rsid w:val="0061390C"/>
    <w:rsid w:val="00614439"/>
    <w:rsid w:val="00614ACB"/>
    <w:rsid w:val="00614E06"/>
    <w:rsid w:val="00616217"/>
    <w:rsid w:val="0062341F"/>
    <w:rsid w:val="00625013"/>
    <w:rsid w:val="00626F93"/>
    <w:rsid w:val="00627B4A"/>
    <w:rsid w:val="0063152B"/>
    <w:rsid w:val="0063228D"/>
    <w:rsid w:val="00633433"/>
    <w:rsid w:val="00634ADF"/>
    <w:rsid w:val="00635CDC"/>
    <w:rsid w:val="00637485"/>
    <w:rsid w:val="00637D21"/>
    <w:rsid w:val="0064298F"/>
    <w:rsid w:val="00643150"/>
    <w:rsid w:val="006507BA"/>
    <w:rsid w:val="00655B71"/>
    <w:rsid w:val="00660507"/>
    <w:rsid w:val="00660EB6"/>
    <w:rsid w:val="00661D09"/>
    <w:rsid w:val="00663035"/>
    <w:rsid w:val="00664360"/>
    <w:rsid w:val="006645F9"/>
    <w:rsid w:val="006666E3"/>
    <w:rsid w:val="00666A11"/>
    <w:rsid w:val="006679A3"/>
    <w:rsid w:val="0067171C"/>
    <w:rsid w:val="00671A12"/>
    <w:rsid w:val="00671F80"/>
    <w:rsid w:val="006731BF"/>
    <w:rsid w:val="0067428E"/>
    <w:rsid w:val="00674A3F"/>
    <w:rsid w:val="0067670A"/>
    <w:rsid w:val="00677D47"/>
    <w:rsid w:val="00684C1F"/>
    <w:rsid w:val="00687B89"/>
    <w:rsid w:val="00691599"/>
    <w:rsid w:val="00691ED0"/>
    <w:rsid w:val="006944C4"/>
    <w:rsid w:val="00695EC4"/>
    <w:rsid w:val="00696ED9"/>
    <w:rsid w:val="00696EFC"/>
    <w:rsid w:val="006A1E37"/>
    <w:rsid w:val="006A3FAB"/>
    <w:rsid w:val="006A5385"/>
    <w:rsid w:val="006A6BA3"/>
    <w:rsid w:val="006A6E7A"/>
    <w:rsid w:val="006B0E25"/>
    <w:rsid w:val="006B1DF6"/>
    <w:rsid w:val="006B4590"/>
    <w:rsid w:val="006C00D2"/>
    <w:rsid w:val="006C349A"/>
    <w:rsid w:val="006C6BDD"/>
    <w:rsid w:val="006D1030"/>
    <w:rsid w:val="006D11F8"/>
    <w:rsid w:val="006D179A"/>
    <w:rsid w:val="006D1E6B"/>
    <w:rsid w:val="006D2A73"/>
    <w:rsid w:val="006D3B46"/>
    <w:rsid w:val="006D4D88"/>
    <w:rsid w:val="006D51B6"/>
    <w:rsid w:val="006D6482"/>
    <w:rsid w:val="006D6B8B"/>
    <w:rsid w:val="006E0859"/>
    <w:rsid w:val="006E1B3B"/>
    <w:rsid w:val="006E1E0F"/>
    <w:rsid w:val="006E1F53"/>
    <w:rsid w:val="006E36C5"/>
    <w:rsid w:val="006E4187"/>
    <w:rsid w:val="006E4772"/>
    <w:rsid w:val="006E7BB9"/>
    <w:rsid w:val="006F222B"/>
    <w:rsid w:val="006F25C9"/>
    <w:rsid w:val="006F2D08"/>
    <w:rsid w:val="006F352F"/>
    <w:rsid w:val="006F382F"/>
    <w:rsid w:val="006F3E4D"/>
    <w:rsid w:val="006F4957"/>
    <w:rsid w:val="006F5596"/>
    <w:rsid w:val="006F5A27"/>
    <w:rsid w:val="007011F2"/>
    <w:rsid w:val="00701465"/>
    <w:rsid w:val="00702362"/>
    <w:rsid w:val="007077C5"/>
    <w:rsid w:val="00707DF9"/>
    <w:rsid w:val="00712927"/>
    <w:rsid w:val="00715430"/>
    <w:rsid w:val="00717283"/>
    <w:rsid w:val="0071774E"/>
    <w:rsid w:val="00717D5C"/>
    <w:rsid w:val="007205D1"/>
    <w:rsid w:val="00722E98"/>
    <w:rsid w:val="007261D0"/>
    <w:rsid w:val="00730DEB"/>
    <w:rsid w:val="007310DF"/>
    <w:rsid w:val="0073235D"/>
    <w:rsid w:val="00734C51"/>
    <w:rsid w:val="00736F8E"/>
    <w:rsid w:val="00737A03"/>
    <w:rsid w:val="007415D2"/>
    <w:rsid w:val="0074736C"/>
    <w:rsid w:val="00747699"/>
    <w:rsid w:val="00747FB7"/>
    <w:rsid w:val="00751696"/>
    <w:rsid w:val="007644B1"/>
    <w:rsid w:val="0076550E"/>
    <w:rsid w:val="007668C5"/>
    <w:rsid w:val="00767A1E"/>
    <w:rsid w:val="0077102C"/>
    <w:rsid w:val="007727E1"/>
    <w:rsid w:val="00774533"/>
    <w:rsid w:val="007771DC"/>
    <w:rsid w:val="00780C58"/>
    <w:rsid w:val="00781980"/>
    <w:rsid w:val="00782537"/>
    <w:rsid w:val="0078345C"/>
    <w:rsid w:val="00783555"/>
    <w:rsid w:val="0078398F"/>
    <w:rsid w:val="00784CE5"/>
    <w:rsid w:val="007850EB"/>
    <w:rsid w:val="00785FED"/>
    <w:rsid w:val="007865D1"/>
    <w:rsid w:val="007904B2"/>
    <w:rsid w:val="00791628"/>
    <w:rsid w:val="007928DC"/>
    <w:rsid w:val="00797FCC"/>
    <w:rsid w:val="00797FF3"/>
    <w:rsid w:val="007A0914"/>
    <w:rsid w:val="007A11E4"/>
    <w:rsid w:val="007A6040"/>
    <w:rsid w:val="007A60B3"/>
    <w:rsid w:val="007B22E3"/>
    <w:rsid w:val="007B4A6B"/>
    <w:rsid w:val="007B672A"/>
    <w:rsid w:val="007C2E59"/>
    <w:rsid w:val="007C37D1"/>
    <w:rsid w:val="007C3EA6"/>
    <w:rsid w:val="007C4937"/>
    <w:rsid w:val="007D1438"/>
    <w:rsid w:val="007D33BC"/>
    <w:rsid w:val="007D3718"/>
    <w:rsid w:val="007D44E7"/>
    <w:rsid w:val="007D4C6A"/>
    <w:rsid w:val="007D635B"/>
    <w:rsid w:val="007D6681"/>
    <w:rsid w:val="007D777F"/>
    <w:rsid w:val="007E0E03"/>
    <w:rsid w:val="007E5378"/>
    <w:rsid w:val="007E650E"/>
    <w:rsid w:val="007E6BD2"/>
    <w:rsid w:val="007F05D3"/>
    <w:rsid w:val="007F0897"/>
    <w:rsid w:val="007F1330"/>
    <w:rsid w:val="007F2C92"/>
    <w:rsid w:val="007F3FFE"/>
    <w:rsid w:val="007F62B1"/>
    <w:rsid w:val="00801636"/>
    <w:rsid w:val="008019C6"/>
    <w:rsid w:val="00805793"/>
    <w:rsid w:val="00805BBC"/>
    <w:rsid w:val="00810AC0"/>
    <w:rsid w:val="008144C5"/>
    <w:rsid w:val="008155D8"/>
    <w:rsid w:val="00815672"/>
    <w:rsid w:val="00820E7C"/>
    <w:rsid w:val="00821574"/>
    <w:rsid w:val="00821F7E"/>
    <w:rsid w:val="00822C4A"/>
    <w:rsid w:val="00825FB6"/>
    <w:rsid w:val="0083307E"/>
    <w:rsid w:val="00835606"/>
    <w:rsid w:val="00835989"/>
    <w:rsid w:val="00836C83"/>
    <w:rsid w:val="0084112B"/>
    <w:rsid w:val="0084367C"/>
    <w:rsid w:val="008439EF"/>
    <w:rsid w:val="00844370"/>
    <w:rsid w:val="00845303"/>
    <w:rsid w:val="00845AC5"/>
    <w:rsid w:val="0085001C"/>
    <w:rsid w:val="00850B28"/>
    <w:rsid w:val="0085258D"/>
    <w:rsid w:val="008542B8"/>
    <w:rsid w:val="008547F6"/>
    <w:rsid w:val="00855612"/>
    <w:rsid w:val="00855EB0"/>
    <w:rsid w:val="00856699"/>
    <w:rsid w:val="008576C3"/>
    <w:rsid w:val="0086015D"/>
    <w:rsid w:val="00864BB9"/>
    <w:rsid w:val="00865D17"/>
    <w:rsid w:val="008667B7"/>
    <w:rsid w:val="00873B6F"/>
    <w:rsid w:val="008751B7"/>
    <w:rsid w:val="00876466"/>
    <w:rsid w:val="00876BB1"/>
    <w:rsid w:val="00876BC1"/>
    <w:rsid w:val="0088089B"/>
    <w:rsid w:val="00882C01"/>
    <w:rsid w:val="00886CCF"/>
    <w:rsid w:val="00892695"/>
    <w:rsid w:val="00892DC1"/>
    <w:rsid w:val="0089488B"/>
    <w:rsid w:val="008A21FA"/>
    <w:rsid w:val="008A6682"/>
    <w:rsid w:val="008A777B"/>
    <w:rsid w:val="008B0112"/>
    <w:rsid w:val="008B069B"/>
    <w:rsid w:val="008B2403"/>
    <w:rsid w:val="008B2971"/>
    <w:rsid w:val="008B47A6"/>
    <w:rsid w:val="008B49EF"/>
    <w:rsid w:val="008B4AD9"/>
    <w:rsid w:val="008B4FF7"/>
    <w:rsid w:val="008B58A0"/>
    <w:rsid w:val="008B5F47"/>
    <w:rsid w:val="008B7168"/>
    <w:rsid w:val="008B76F6"/>
    <w:rsid w:val="008C0BC9"/>
    <w:rsid w:val="008C0D17"/>
    <w:rsid w:val="008C33D2"/>
    <w:rsid w:val="008C3FCE"/>
    <w:rsid w:val="008C41E4"/>
    <w:rsid w:val="008C4413"/>
    <w:rsid w:val="008C4658"/>
    <w:rsid w:val="008D1008"/>
    <w:rsid w:val="008D17F9"/>
    <w:rsid w:val="008D1E6A"/>
    <w:rsid w:val="008D23FA"/>
    <w:rsid w:val="008D3781"/>
    <w:rsid w:val="008D4A18"/>
    <w:rsid w:val="008D4BF8"/>
    <w:rsid w:val="008D6083"/>
    <w:rsid w:val="008D7425"/>
    <w:rsid w:val="008D7E9A"/>
    <w:rsid w:val="008E0F33"/>
    <w:rsid w:val="008E0FE2"/>
    <w:rsid w:val="008E1914"/>
    <w:rsid w:val="008E3A05"/>
    <w:rsid w:val="008E58E7"/>
    <w:rsid w:val="008E7A01"/>
    <w:rsid w:val="008F1609"/>
    <w:rsid w:val="008F32EF"/>
    <w:rsid w:val="008F6FF7"/>
    <w:rsid w:val="0090089A"/>
    <w:rsid w:val="0090416F"/>
    <w:rsid w:val="00904263"/>
    <w:rsid w:val="00905DF3"/>
    <w:rsid w:val="00907C24"/>
    <w:rsid w:val="00910D89"/>
    <w:rsid w:val="00910E92"/>
    <w:rsid w:val="00911F40"/>
    <w:rsid w:val="0091280C"/>
    <w:rsid w:val="009146C3"/>
    <w:rsid w:val="00915328"/>
    <w:rsid w:val="009158D0"/>
    <w:rsid w:val="00915E84"/>
    <w:rsid w:val="00916392"/>
    <w:rsid w:val="00917D30"/>
    <w:rsid w:val="00917E9A"/>
    <w:rsid w:val="009217B6"/>
    <w:rsid w:val="009228ED"/>
    <w:rsid w:val="00924849"/>
    <w:rsid w:val="00924F8C"/>
    <w:rsid w:val="009256D6"/>
    <w:rsid w:val="00926EA1"/>
    <w:rsid w:val="00932743"/>
    <w:rsid w:val="00932FCC"/>
    <w:rsid w:val="00933181"/>
    <w:rsid w:val="009335D4"/>
    <w:rsid w:val="009368CD"/>
    <w:rsid w:val="00940C11"/>
    <w:rsid w:val="009430A2"/>
    <w:rsid w:val="009433CB"/>
    <w:rsid w:val="00943F92"/>
    <w:rsid w:val="00945C54"/>
    <w:rsid w:val="00950B7F"/>
    <w:rsid w:val="0095352B"/>
    <w:rsid w:val="0095665C"/>
    <w:rsid w:val="00961653"/>
    <w:rsid w:val="00962EE6"/>
    <w:rsid w:val="009649D7"/>
    <w:rsid w:val="00964CF1"/>
    <w:rsid w:val="009667D3"/>
    <w:rsid w:val="00966DB6"/>
    <w:rsid w:val="00970D66"/>
    <w:rsid w:val="00970E12"/>
    <w:rsid w:val="00972DF7"/>
    <w:rsid w:val="00973158"/>
    <w:rsid w:val="00975C78"/>
    <w:rsid w:val="00976084"/>
    <w:rsid w:val="009768C9"/>
    <w:rsid w:val="00977281"/>
    <w:rsid w:val="0098082E"/>
    <w:rsid w:val="00980CBD"/>
    <w:rsid w:val="00981ADA"/>
    <w:rsid w:val="009842E8"/>
    <w:rsid w:val="00984D4F"/>
    <w:rsid w:val="00984F08"/>
    <w:rsid w:val="00985B63"/>
    <w:rsid w:val="00986AA0"/>
    <w:rsid w:val="00990388"/>
    <w:rsid w:val="00991162"/>
    <w:rsid w:val="009929B5"/>
    <w:rsid w:val="00995791"/>
    <w:rsid w:val="00995D03"/>
    <w:rsid w:val="00996072"/>
    <w:rsid w:val="009A08EE"/>
    <w:rsid w:val="009A0C30"/>
    <w:rsid w:val="009A122A"/>
    <w:rsid w:val="009A18C7"/>
    <w:rsid w:val="009A2249"/>
    <w:rsid w:val="009A2FBC"/>
    <w:rsid w:val="009A35A3"/>
    <w:rsid w:val="009A401A"/>
    <w:rsid w:val="009A47BA"/>
    <w:rsid w:val="009A4A02"/>
    <w:rsid w:val="009A53A9"/>
    <w:rsid w:val="009A5658"/>
    <w:rsid w:val="009A5B7C"/>
    <w:rsid w:val="009A77C5"/>
    <w:rsid w:val="009B0674"/>
    <w:rsid w:val="009B4229"/>
    <w:rsid w:val="009B73D6"/>
    <w:rsid w:val="009C073A"/>
    <w:rsid w:val="009C42FA"/>
    <w:rsid w:val="009C5518"/>
    <w:rsid w:val="009C5629"/>
    <w:rsid w:val="009C7821"/>
    <w:rsid w:val="009C786B"/>
    <w:rsid w:val="009D036E"/>
    <w:rsid w:val="009D0AE1"/>
    <w:rsid w:val="009D118A"/>
    <w:rsid w:val="009D2A19"/>
    <w:rsid w:val="009D4854"/>
    <w:rsid w:val="009D4EAE"/>
    <w:rsid w:val="009D7684"/>
    <w:rsid w:val="009E07BF"/>
    <w:rsid w:val="009E2BAC"/>
    <w:rsid w:val="009E2F08"/>
    <w:rsid w:val="009E32BE"/>
    <w:rsid w:val="009E3DFF"/>
    <w:rsid w:val="009E4471"/>
    <w:rsid w:val="009E78AA"/>
    <w:rsid w:val="009F1F10"/>
    <w:rsid w:val="009F2539"/>
    <w:rsid w:val="009F2B90"/>
    <w:rsid w:val="009F3275"/>
    <w:rsid w:val="009F40F0"/>
    <w:rsid w:val="009F46E2"/>
    <w:rsid w:val="009F4826"/>
    <w:rsid w:val="009F56F1"/>
    <w:rsid w:val="009F778D"/>
    <w:rsid w:val="00A00843"/>
    <w:rsid w:val="00A00871"/>
    <w:rsid w:val="00A03860"/>
    <w:rsid w:val="00A05A01"/>
    <w:rsid w:val="00A07510"/>
    <w:rsid w:val="00A14D33"/>
    <w:rsid w:val="00A230D2"/>
    <w:rsid w:val="00A238C1"/>
    <w:rsid w:val="00A239A6"/>
    <w:rsid w:val="00A24D92"/>
    <w:rsid w:val="00A2597E"/>
    <w:rsid w:val="00A26241"/>
    <w:rsid w:val="00A30EAA"/>
    <w:rsid w:val="00A32296"/>
    <w:rsid w:val="00A3447E"/>
    <w:rsid w:val="00A348B9"/>
    <w:rsid w:val="00A374A5"/>
    <w:rsid w:val="00A4018D"/>
    <w:rsid w:val="00A409AE"/>
    <w:rsid w:val="00A41298"/>
    <w:rsid w:val="00A4217E"/>
    <w:rsid w:val="00A4431A"/>
    <w:rsid w:val="00A46590"/>
    <w:rsid w:val="00A46C4C"/>
    <w:rsid w:val="00A4700F"/>
    <w:rsid w:val="00A47808"/>
    <w:rsid w:val="00A50569"/>
    <w:rsid w:val="00A50AD5"/>
    <w:rsid w:val="00A516A3"/>
    <w:rsid w:val="00A5176A"/>
    <w:rsid w:val="00A5496A"/>
    <w:rsid w:val="00A549F1"/>
    <w:rsid w:val="00A629C7"/>
    <w:rsid w:val="00A63FD0"/>
    <w:rsid w:val="00A664F8"/>
    <w:rsid w:val="00A66CDE"/>
    <w:rsid w:val="00A675B2"/>
    <w:rsid w:val="00A7002E"/>
    <w:rsid w:val="00A714F1"/>
    <w:rsid w:val="00A720F3"/>
    <w:rsid w:val="00A72414"/>
    <w:rsid w:val="00A731D2"/>
    <w:rsid w:val="00A735A1"/>
    <w:rsid w:val="00A73DDA"/>
    <w:rsid w:val="00A8139E"/>
    <w:rsid w:val="00A82687"/>
    <w:rsid w:val="00A82E1D"/>
    <w:rsid w:val="00A84DDF"/>
    <w:rsid w:val="00A851DC"/>
    <w:rsid w:val="00A85859"/>
    <w:rsid w:val="00A860BB"/>
    <w:rsid w:val="00A862A1"/>
    <w:rsid w:val="00A864F8"/>
    <w:rsid w:val="00A87F8E"/>
    <w:rsid w:val="00A90A27"/>
    <w:rsid w:val="00A9160C"/>
    <w:rsid w:val="00A9195E"/>
    <w:rsid w:val="00A92205"/>
    <w:rsid w:val="00A9333C"/>
    <w:rsid w:val="00A94292"/>
    <w:rsid w:val="00A94900"/>
    <w:rsid w:val="00A95DA1"/>
    <w:rsid w:val="00A95FFC"/>
    <w:rsid w:val="00AA04A9"/>
    <w:rsid w:val="00AA3021"/>
    <w:rsid w:val="00AA7F5F"/>
    <w:rsid w:val="00AB09E1"/>
    <w:rsid w:val="00AB13FF"/>
    <w:rsid w:val="00AB1BE0"/>
    <w:rsid w:val="00AB22EA"/>
    <w:rsid w:val="00AB2577"/>
    <w:rsid w:val="00AB41C8"/>
    <w:rsid w:val="00AB64E2"/>
    <w:rsid w:val="00AC1B30"/>
    <w:rsid w:val="00AC3348"/>
    <w:rsid w:val="00AC6650"/>
    <w:rsid w:val="00AC6A0B"/>
    <w:rsid w:val="00AD2036"/>
    <w:rsid w:val="00AD4733"/>
    <w:rsid w:val="00AD50A0"/>
    <w:rsid w:val="00AD5902"/>
    <w:rsid w:val="00AD678B"/>
    <w:rsid w:val="00AD7E03"/>
    <w:rsid w:val="00AE1C80"/>
    <w:rsid w:val="00AE2C58"/>
    <w:rsid w:val="00AE4018"/>
    <w:rsid w:val="00AE481D"/>
    <w:rsid w:val="00AE6BAF"/>
    <w:rsid w:val="00AF08BD"/>
    <w:rsid w:val="00AF4591"/>
    <w:rsid w:val="00AF48AD"/>
    <w:rsid w:val="00AF554F"/>
    <w:rsid w:val="00AF7020"/>
    <w:rsid w:val="00AF786C"/>
    <w:rsid w:val="00B00C5C"/>
    <w:rsid w:val="00B00E78"/>
    <w:rsid w:val="00B0367F"/>
    <w:rsid w:val="00B04115"/>
    <w:rsid w:val="00B04660"/>
    <w:rsid w:val="00B10C23"/>
    <w:rsid w:val="00B115E2"/>
    <w:rsid w:val="00B117E6"/>
    <w:rsid w:val="00B1415B"/>
    <w:rsid w:val="00B15183"/>
    <w:rsid w:val="00B15675"/>
    <w:rsid w:val="00B20C09"/>
    <w:rsid w:val="00B2204D"/>
    <w:rsid w:val="00B2227E"/>
    <w:rsid w:val="00B23233"/>
    <w:rsid w:val="00B23BA5"/>
    <w:rsid w:val="00B257D4"/>
    <w:rsid w:val="00B26822"/>
    <w:rsid w:val="00B268C9"/>
    <w:rsid w:val="00B27A21"/>
    <w:rsid w:val="00B27D0E"/>
    <w:rsid w:val="00B313EE"/>
    <w:rsid w:val="00B32094"/>
    <w:rsid w:val="00B3286B"/>
    <w:rsid w:val="00B32C0B"/>
    <w:rsid w:val="00B34D29"/>
    <w:rsid w:val="00B3595A"/>
    <w:rsid w:val="00B37690"/>
    <w:rsid w:val="00B42137"/>
    <w:rsid w:val="00B421EE"/>
    <w:rsid w:val="00B436E7"/>
    <w:rsid w:val="00B43AFC"/>
    <w:rsid w:val="00B44D5B"/>
    <w:rsid w:val="00B4590E"/>
    <w:rsid w:val="00B50DF1"/>
    <w:rsid w:val="00B515A9"/>
    <w:rsid w:val="00B5316E"/>
    <w:rsid w:val="00B540F7"/>
    <w:rsid w:val="00B5500C"/>
    <w:rsid w:val="00B60576"/>
    <w:rsid w:val="00B614DC"/>
    <w:rsid w:val="00B63447"/>
    <w:rsid w:val="00B63C35"/>
    <w:rsid w:val="00B64218"/>
    <w:rsid w:val="00B64B7B"/>
    <w:rsid w:val="00B659C3"/>
    <w:rsid w:val="00B66D73"/>
    <w:rsid w:val="00B70375"/>
    <w:rsid w:val="00B71367"/>
    <w:rsid w:val="00B715FF"/>
    <w:rsid w:val="00B7356A"/>
    <w:rsid w:val="00B76133"/>
    <w:rsid w:val="00B8098D"/>
    <w:rsid w:val="00B81452"/>
    <w:rsid w:val="00B824C3"/>
    <w:rsid w:val="00B83803"/>
    <w:rsid w:val="00B84421"/>
    <w:rsid w:val="00B868A8"/>
    <w:rsid w:val="00B869C9"/>
    <w:rsid w:val="00B923C2"/>
    <w:rsid w:val="00B9408D"/>
    <w:rsid w:val="00B94D79"/>
    <w:rsid w:val="00B95C78"/>
    <w:rsid w:val="00B960A0"/>
    <w:rsid w:val="00B96325"/>
    <w:rsid w:val="00BA62D9"/>
    <w:rsid w:val="00BA635E"/>
    <w:rsid w:val="00BA69C1"/>
    <w:rsid w:val="00BA6CCE"/>
    <w:rsid w:val="00BA7F56"/>
    <w:rsid w:val="00BB00CF"/>
    <w:rsid w:val="00BB2C4B"/>
    <w:rsid w:val="00BB33C7"/>
    <w:rsid w:val="00BB5D25"/>
    <w:rsid w:val="00BB61B0"/>
    <w:rsid w:val="00BB6222"/>
    <w:rsid w:val="00BB7D0F"/>
    <w:rsid w:val="00BC1F3E"/>
    <w:rsid w:val="00BC1FD3"/>
    <w:rsid w:val="00BC4A50"/>
    <w:rsid w:val="00BC521E"/>
    <w:rsid w:val="00BC7731"/>
    <w:rsid w:val="00BD08A8"/>
    <w:rsid w:val="00BD2267"/>
    <w:rsid w:val="00BD2922"/>
    <w:rsid w:val="00BD4DBE"/>
    <w:rsid w:val="00BD6C35"/>
    <w:rsid w:val="00BD7359"/>
    <w:rsid w:val="00BE2BFB"/>
    <w:rsid w:val="00BE3331"/>
    <w:rsid w:val="00BE7FF0"/>
    <w:rsid w:val="00BF031D"/>
    <w:rsid w:val="00BF59ED"/>
    <w:rsid w:val="00BF63B4"/>
    <w:rsid w:val="00BF6454"/>
    <w:rsid w:val="00BF7857"/>
    <w:rsid w:val="00C007F2"/>
    <w:rsid w:val="00C0085B"/>
    <w:rsid w:val="00C00966"/>
    <w:rsid w:val="00C026A2"/>
    <w:rsid w:val="00C04D0E"/>
    <w:rsid w:val="00C10B01"/>
    <w:rsid w:val="00C11595"/>
    <w:rsid w:val="00C118B7"/>
    <w:rsid w:val="00C12BDE"/>
    <w:rsid w:val="00C12E14"/>
    <w:rsid w:val="00C153C6"/>
    <w:rsid w:val="00C15BED"/>
    <w:rsid w:val="00C161BD"/>
    <w:rsid w:val="00C17D9D"/>
    <w:rsid w:val="00C2247B"/>
    <w:rsid w:val="00C2296D"/>
    <w:rsid w:val="00C23507"/>
    <w:rsid w:val="00C26092"/>
    <w:rsid w:val="00C2784F"/>
    <w:rsid w:val="00C27E8A"/>
    <w:rsid w:val="00C27EFA"/>
    <w:rsid w:val="00C32E28"/>
    <w:rsid w:val="00C348E9"/>
    <w:rsid w:val="00C34920"/>
    <w:rsid w:val="00C3775A"/>
    <w:rsid w:val="00C418F0"/>
    <w:rsid w:val="00C42C84"/>
    <w:rsid w:val="00C43118"/>
    <w:rsid w:val="00C4427B"/>
    <w:rsid w:val="00C44982"/>
    <w:rsid w:val="00C4539B"/>
    <w:rsid w:val="00C4601E"/>
    <w:rsid w:val="00C4674E"/>
    <w:rsid w:val="00C467B2"/>
    <w:rsid w:val="00C4726B"/>
    <w:rsid w:val="00C50E36"/>
    <w:rsid w:val="00C527EB"/>
    <w:rsid w:val="00C52A54"/>
    <w:rsid w:val="00C52FBC"/>
    <w:rsid w:val="00C54CC5"/>
    <w:rsid w:val="00C557CB"/>
    <w:rsid w:val="00C57F2A"/>
    <w:rsid w:val="00C628B2"/>
    <w:rsid w:val="00C63F96"/>
    <w:rsid w:val="00C67598"/>
    <w:rsid w:val="00C676DD"/>
    <w:rsid w:val="00C70391"/>
    <w:rsid w:val="00C71494"/>
    <w:rsid w:val="00C71DAD"/>
    <w:rsid w:val="00C7362B"/>
    <w:rsid w:val="00C74907"/>
    <w:rsid w:val="00C77118"/>
    <w:rsid w:val="00C8125B"/>
    <w:rsid w:val="00C855FE"/>
    <w:rsid w:val="00C864A3"/>
    <w:rsid w:val="00C8699C"/>
    <w:rsid w:val="00C873E6"/>
    <w:rsid w:val="00C87772"/>
    <w:rsid w:val="00C87CE3"/>
    <w:rsid w:val="00C9028E"/>
    <w:rsid w:val="00C91A60"/>
    <w:rsid w:val="00C96C62"/>
    <w:rsid w:val="00C97B1E"/>
    <w:rsid w:val="00CA0D5D"/>
    <w:rsid w:val="00CA3ADD"/>
    <w:rsid w:val="00CA3B57"/>
    <w:rsid w:val="00CA451E"/>
    <w:rsid w:val="00CA51F7"/>
    <w:rsid w:val="00CA595F"/>
    <w:rsid w:val="00CA7FF5"/>
    <w:rsid w:val="00CB0B41"/>
    <w:rsid w:val="00CB2EDB"/>
    <w:rsid w:val="00CB5BB4"/>
    <w:rsid w:val="00CB7B58"/>
    <w:rsid w:val="00CC2676"/>
    <w:rsid w:val="00CC2925"/>
    <w:rsid w:val="00CC6CF9"/>
    <w:rsid w:val="00CC77D7"/>
    <w:rsid w:val="00CD1988"/>
    <w:rsid w:val="00CD5CC0"/>
    <w:rsid w:val="00CD5EC9"/>
    <w:rsid w:val="00CD5F4E"/>
    <w:rsid w:val="00CD7E43"/>
    <w:rsid w:val="00CE0F3C"/>
    <w:rsid w:val="00CE27F8"/>
    <w:rsid w:val="00CE3FBD"/>
    <w:rsid w:val="00CE4352"/>
    <w:rsid w:val="00CE4655"/>
    <w:rsid w:val="00CE4848"/>
    <w:rsid w:val="00CE62BD"/>
    <w:rsid w:val="00CE6B42"/>
    <w:rsid w:val="00CE6EFB"/>
    <w:rsid w:val="00CE702F"/>
    <w:rsid w:val="00CF0278"/>
    <w:rsid w:val="00CF07C6"/>
    <w:rsid w:val="00CF1135"/>
    <w:rsid w:val="00CF17E6"/>
    <w:rsid w:val="00CF7532"/>
    <w:rsid w:val="00D01178"/>
    <w:rsid w:val="00D027D6"/>
    <w:rsid w:val="00D0707A"/>
    <w:rsid w:val="00D0788D"/>
    <w:rsid w:val="00D12070"/>
    <w:rsid w:val="00D1557A"/>
    <w:rsid w:val="00D16658"/>
    <w:rsid w:val="00D2002D"/>
    <w:rsid w:val="00D219DA"/>
    <w:rsid w:val="00D23D76"/>
    <w:rsid w:val="00D25901"/>
    <w:rsid w:val="00D3101B"/>
    <w:rsid w:val="00D34DF8"/>
    <w:rsid w:val="00D35957"/>
    <w:rsid w:val="00D3660D"/>
    <w:rsid w:val="00D36CA2"/>
    <w:rsid w:val="00D36EA1"/>
    <w:rsid w:val="00D40959"/>
    <w:rsid w:val="00D41087"/>
    <w:rsid w:val="00D422F7"/>
    <w:rsid w:val="00D434AD"/>
    <w:rsid w:val="00D47852"/>
    <w:rsid w:val="00D479CD"/>
    <w:rsid w:val="00D52C72"/>
    <w:rsid w:val="00D53F13"/>
    <w:rsid w:val="00D54113"/>
    <w:rsid w:val="00D55743"/>
    <w:rsid w:val="00D5656B"/>
    <w:rsid w:val="00D60332"/>
    <w:rsid w:val="00D62541"/>
    <w:rsid w:val="00D648B8"/>
    <w:rsid w:val="00D64D9C"/>
    <w:rsid w:val="00D66A3F"/>
    <w:rsid w:val="00D7147E"/>
    <w:rsid w:val="00D72FA7"/>
    <w:rsid w:val="00D745AF"/>
    <w:rsid w:val="00D76D8A"/>
    <w:rsid w:val="00D8019A"/>
    <w:rsid w:val="00D80EBE"/>
    <w:rsid w:val="00D85774"/>
    <w:rsid w:val="00D87BCB"/>
    <w:rsid w:val="00D901FA"/>
    <w:rsid w:val="00D91A8B"/>
    <w:rsid w:val="00D9366C"/>
    <w:rsid w:val="00D93E18"/>
    <w:rsid w:val="00D953C4"/>
    <w:rsid w:val="00D979F8"/>
    <w:rsid w:val="00DA06D7"/>
    <w:rsid w:val="00DA09FA"/>
    <w:rsid w:val="00DA0AC0"/>
    <w:rsid w:val="00DA1509"/>
    <w:rsid w:val="00DA3759"/>
    <w:rsid w:val="00DA7864"/>
    <w:rsid w:val="00DB1747"/>
    <w:rsid w:val="00DB35F8"/>
    <w:rsid w:val="00DB4404"/>
    <w:rsid w:val="00DB55CF"/>
    <w:rsid w:val="00DB6CB1"/>
    <w:rsid w:val="00DB7F49"/>
    <w:rsid w:val="00DC1D9F"/>
    <w:rsid w:val="00DC4407"/>
    <w:rsid w:val="00DC492E"/>
    <w:rsid w:val="00DC5BD1"/>
    <w:rsid w:val="00DC6DB5"/>
    <w:rsid w:val="00DD6600"/>
    <w:rsid w:val="00DE0942"/>
    <w:rsid w:val="00DE3057"/>
    <w:rsid w:val="00DE5D45"/>
    <w:rsid w:val="00DE60F0"/>
    <w:rsid w:val="00DE7241"/>
    <w:rsid w:val="00DF5C12"/>
    <w:rsid w:val="00DF5F46"/>
    <w:rsid w:val="00DF5FA6"/>
    <w:rsid w:val="00DF6003"/>
    <w:rsid w:val="00DF6A44"/>
    <w:rsid w:val="00E00A1A"/>
    <w:rsid w:val="00E0299F"/>
    <w:rsid w:val="00E04229"/>
    <w:rsid w:val="00E0481E"/>
    <w:rsid w:val="00E04C71"/>
    <w:rsid w:val="00E10289"/>
    <w:rsid w:val="00E113FD"/>
    <w:rsid w:val="00E116BD"/>
    <w:rsid w:val="00E11A96"/>
    <w:rsid w:val="00E14AD7"/>
    <w:rsid w:val="00E15052"/>
    <w:rsid w:val="00E1615E"/>
    <w:rsid w:val="00E16282"/>
    <w:rsid w:val="00E16F18"/>
    <w:rsid w:val="00E1748E"/>
    <w:rsid w:val="00E20307"/>
    <w:rsid w:val="00E21F99"/>
    <w:rsid w:val="00E23D72"/>
    <w:rsid w:val="00E2445E"/>
    <w:rsid w:val="00E2448F"/>
    <w:rsid w:val="00E24D81"/>
    <w:rsid w:val="00E261AB"/>
    <w:rsid w:val="00E27342"/>
    <w:rsid w:val="00E3267A"/>
    <w:rsid w:val="00E32B44"/>
    <w:rsid w:val="00E3380B"/>
    <w:rsid w:val="00E33A4F"/>
    <w:rsid w:val="00E3568B"/>
    <w:rsid w:val="00E4407D"/>
    <w:rsid w:val="00E45D8C"/>
    <w:rsid w:val="00E461E6"/>
    <w:rsid w:val="00E47100"/>
    <w:rsid w:val="00E5648D"/>
    <w:rsid w:val="00E6006F"/>
    <w:rsid w:val="00E63622"/>
    <w:rsid w:val="00E64F6D"/>
    <w:rsid w:val="00E65864"/>
    <w:rsid w:val="00E6699E"/>
    <w:rsid w:val="00E66D14"/>
    <w:rsid w:val="00E675EA"/>
    <w:rsid w:val="00E675FD"/>
    <w:rsid w:val="00E67DDA"/>
    <w:rsid w:val="00E67F6B"/>
    <w:rsid w:val="00E724CF"/>
    <w:rsid w:val="00E73448"/>
    <w:rsid w:val="00E7448F"/>
    <w:rsid w:val="00E74ABE"/>
    <w:rsid w:val="00E74BA7"/>
    <w:rsid w:val="00E75980"/>
    <w:rsid w:val="00E76A7A"/>
    <w:rsid w:val="00E76AE5"/>
    <w:rsid w:val="00E82808"/>
    <w:rsid w:val="00E841CE"/>
    <w:rsid w:val="00E85C9A"/>
    <w:rsid w:val="00E90BC3"/>
    <w:rsid w:val="00E91C4A"/>
    <w:rsid w:val="00E94E40"/>
    <w:rsid w:val="00E95C10"/>
    <w:rsid w:val="00E95C68"/>
    <w:rsid w:val="00E97BDD"/>
    <w:rsid w:val="00E97C88"/>
    <w:rsid w:val="00EA2C68"/>
    <w:rsid w:val="00EA7670"/>
    <w:rsid w:val="00EB1034"/>
    <w:rsid w:val="00EB3970"/>
    <w:rsid w:val="00EB3EA2"/>
    <w:rsid w:val="00EB4382"/>
    <w:rsid w:val="00EB4FD6"/>
    <w:rsid w:val="00EB6247"/>
    <w:rsid w:val="00EB6343"/>
    <w:rsid w:val="00EC1195"/>
    <w:rsid w:val="00EC13B3"/>
    <w:rsid w:val="00EC2B02"/>
    <w:rsid w:val="00EC313A"/>
    <w:rsid w:val="00EC3BA7"/>
    <w:rsid w:val="00EC4899"/>
    <w:rsid w:val="00EC4B8D"/>
    <w:rsid w:val="00EC5EC2"/>
    <w:rsid w:val="00ED3C1F"/>
    <w:rsid w:val="00ED46D5"/>
    <w:rsid w:val="00ED4E9B"/>
    <w:rsid w:val="00ED5689"/>
    <w:rsid w:val="00ED6B67"/>
    <w:rsid w:val="00EE1377"/>
    <w:rsid w:val="00EE15C8"/>
    <w:rsid w:val="00EE3842"/>
    <w:rsid w:val="00EE46C3"/>
    <w:rsid w:val="00EE4F79"/>
    <w:rsid w:val="00EE55F5"/>
    <w:rsid w:val="00EE6652"/>
    <w:rsid w:val="00EE67BA"/>
    <w:rsid w:val="00EF3B29"/>
    <w:rsid w:val="00EF553E"/>
    <w:rsid w:val="00EF5980"/>
    <w:rsid w:val="00EF73FB"/>
    <w:rsid w:val="00F00A9C"/>
    <w:rsid w:val="00F01750"/>
    <w:rsid w:val="00F0211A"/>
    <w:rsid w:val="00F02528"/>
    <w:rsid w:val="00F02C3B"/>
    <w:rsid w:val="00F0359E"/>
    <w:rsid w:val="00F04721"/>
    <w:rsid w:val="00F04E1E"/>
    <w:rsid w:val="00F059E7"/>
    <w:rsid w:val="00F05F91"/>
    <w:rsid w:val="00F06623"/>
    <w:rsid w:val="00F103F0"/>
    <w:rsid w:val="00F1380C"/>
    <w:rsid w:val="00F143DC"/>
    <w:rsid w:val="00F15567"/>
    <w:rsid w:val="00F1615D"/>
    <w:rsid w:val="00F20F43"/>
    <w:rsid w:val="00F21088"/>
    <w:rsid w:val="00F216DE"/>
    <w:rsid w:val="00F21F0E"/>
    <w:rsid w:val="00F23263"/>
    <w:rsid w:val="00F252DE"/>
    <w:rsid w:val="00F25D2D"/>
    <w:rsid w:val="00F30DCF"/>
    <w:rsid w:val="00F35E18"/>
    <w:rsid w:val="00F367E2"/>
    <w:rsid w:val="00F378BB"/>
    <w:rsid w:val="00F4106F"/>
    <w:rsid w:val="00F412C6"/>
    <w:rsid w:val="00F418B6"/>
    <w:rsid w:val="00F42518"/>
    <w:rsid w:val="00F43D9A"/>
    <w:rsid w:val="00F447F8"/>
    <w:rsid w:val="00F47DE9"/>
    <w:rsid w:val="00F50254"/>
    <w:rsid w:val="00F5182C"/>
    <w:rsid w:val="00F54943"/>
    <w:rsid w:val="00F553C7"/>
    <w:rsid w:val="00F61BCD"/>
    <w:rsid w:val="00F61DE5"/>
    <w:rsid w:val="00F6377E"/>
    <w:rsid w:val="00F66694"/>
    <w:rsid w:val="00F67081"/>
    <w:rsid w:val="00F706AC"/>
    <w:rsid w:val="00F7163A"/>
    <w:rsid w:val="00F732C9"/>
    <w:rsid w:val="00F73A53"/>
    <w:rsid w:val="00F74AB9"/>
    <w:rsid w:val="00F75F2B"/>
    <w:rsid w:val="00F7792D"/>
    <w:rsid w:val="00F82F51"/>
    <w:rsid w:val="00F83653"/>
    <w:rsid w:val="00F83CEB"/>
    <w:rsid w:val="00F8480D"/>
    <w:rsid w:val="00F87623"/>
    <w:rsid w:val="00F90A66"/>
    <w:rsid w:val="00F9122B"/>
    <w:rsid w:val="00F94D36"/>
    <w:rsid w:val="00F96401"/>
    <w:rsid w:val="00F966C0"/>
    <w:rsid w:val="00F97260"/>
    <w:rsid w:val="00F97531"/>
    <w:rsid w:val="00FA01FE"/>
    <w:rsid w:val="00FA138C"/>
    <w:rsid w:val="00FA22EA"/>
    <w:rsid w:val="00FA7D33"/>
    <w:rsid w:val="00FB2413"/>
    <w:rsid w:val="00FB2A83"/>
    <w:rsid w:val="00FB3B65"/>
    <w:rsid w:val="00FB5709"/>
    <w:rsid w:val="00FC0FA5"/>
    <w:rsid w:val="00FC6E2A"/>
    <w:rsid w:val="00FC776C"/>
    <w:rsid w:val="00FD040F"/>
    <w:rsid w:val="00FD52AB"/>
    <w:rsid w:val="00FD5895"/>
    <w:rsid w:val="00FD5A4B"/>
    <w:rsid w:val="00FD5A59"/>
    <w:rsid w:val="00FD77FA"/>
    <w:rsid w:val="00FD78B6"/>
    <w:rsid w:val="00FD7B26"/>
    <w:rsid w:val="00FD7DAC"/>
    <w:rsid w:val="00FE270B"/>
    <w:rsid w:val="00FE281F"/>
    <w:rsid w:val="00FE4D40"/>
    <w:rsid w:val="00FE4E43"/>
    <w:rsid w:val="00FE4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809B0"/>
  <w15:chartTrackingRefBased/>
  <w15:docId w15:val="{102C7815-AE58-44AA-8CF1-9BF0CF60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1"/>
    <w:lsdException w:name="Intense Emphasis" w:semiHidden="1" w:uiPriority="22"/>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F"/>
    <w:pPr>
      <w:spacing w:after="200"/>
    </w:pPr>
    <w:rPr>
      <w:rFonts w:eastAsia="Arial" w:cs="Arial"/>
      <w:sz w:val="22"/>
      <w:szCs w:val="22"/>
      <w:lang w:val="en-AU" w:eastAsia="en-AU"/>
    </w:rPr>
  </w:style>
  <w:style w:type="paragraph" w:styleId="Heading1">
    <w:name w:val="heading 1"/>
    <w:basedOn w:val="Normal"/>
    <w:next w:val="Normal"/>
    <w:link w:val="Heading1Char"/>
    <w:uiPriority w:val="9"/>
    <w:qFormat/>
    <w:rsid w:val="001F3BAF"/>
    <w:pPr>
      <w:keepNext/>
      <w:spacing w:before="240" w:after="60"/>
      <w:outlineLvl w:val="0"/>
    </w:pPr>
    <w:rPr>
      <w:b/>
      <w:bCs/>
      <w:color w:val="0F2D52"/>
      <w:kern w:val="32"/>
      <w:sz w:val="32"/>
      <w:szCs w:val="32"/>
    </w:rPr>
  </w:style>
  <w:style w:type="paragraph" w:styleId="Heading2">
    <w:name w:val="heading 2"/>
    <w:basedOn w:val="Normal"/>
    <w:next w:val="Normal"/>
    <w:link w:val="Heading2Char"/>
    <w:uiPriority w:val="9"/>
    <w:qFormat/>
    <w:rsid w:val="001F3BAF"/>
    <w:pPr>
      <w:keepNext/>
      <w:spacing w:before="240"/>
      <w:outlineLvl w:val="1"/>
    </w:pPr>
    <w:rPr>
      <w:b/>
      <w:bCs/>
      <w:iCs/>
      <w:color w:val="0F2D52"/>
      <w:sz w:val="28"/>
      <w:szCs w:val="28"/>
    </w:rPr>
  </w:style>
  <w:style w:type="paragraph" w:styleId="Heading3">
    <w:name w:val="heading 3"/>
    <w:basedOn w:val="Normal"/>
    <w:next w:val="Normal"/>
    <w:link w:val="Heading3Char"/>
    <w:uiPriority w:val="9"/>
    <w:qFormat/>
    <w:rsid w:val="00257E78"/>
    <w:pPr>
      <w:keepNext/>
      <w:spacing w:before="240" w:after="160"/>
      <w:outlineLvl w:val="2"/>
    </w:pPr>
    <w:rPr>
      <w:b/>
      <w:iCs/>
      <w:color w:val="0F2D52"/>
      <w:sz w:val="24"/>
      <w:szCs w:val="24"/>
    </w:rPr>
  </w:style>
  <w:style w:type="paragraph" w:styleId="Heading4">
    <w:name w:val="heading 4"/>
    <w:link w:val="Heading4Char"/>
    <w:uiPriority w:val="9"/>
    <w:unhideWhenUsed/>
    <w:qFormat/>
    <w:rsid w:val="00660EB6"/>
    <w:pPr>
      <w:spacing w:before="120" w:after="80"/>
      <w:outlineLvl w:val="3"/>
    </w:pPr>
    <w:rPr>
      <w:rFonts w:eastAsia="Arial" w:cs="Arial"/>
      <w:b/>
      <w:iCs/>
      <w:color w:val="0F2D52"/>
      <w:sz w:val="22"/>
      <w:szCs w:val="22"/>
      <w:lang w:val="en-AU" w:eastAsia="en-AU"/>
    </w:rPr>
  </w:style>
  <w:style w:type="paragraph" w:styleId="Heading5">
    <w:name w:val="heading 5"/>
    <w:link w:val="Heading5Char"/>
    <w:uiPriority w:val="9"/>
    <w:unhideWhenUsed/>
    <w:qFormat/>
    <w:rsid w:val="005776EE"/>
    <w:pPr>
      <w:outlineLvl w:val="4"/>
    </w:pPr>
    <w:rPr>
      <w:rFonts w:eastAsia="Arial" w:cs="Arial"/>
      <w:color w:val="2E74B5"/>
      <w:sz w:val="22"/>
      <w:szCs w:val="22"/>
      <w:lang w:val="en-AU" w:eastAsia="en-AU"/>
    </w:rPr>
  </w:style>
  <w:style w:type="paragraph" w:styleId="Heading6">
    <w:name w:val="heading 6"/>
    <w:link w:val="Heading6Char"/>
    <w:uiPriority w:val="9"/>
    <w:semiHidden/>
    <w:unhideWhenUsed/>
    <w:qFormat/>
    <w:rsid w:val="005776EE"/>
    <w:pPr>
      <w:outlineLvl w:val="5"/>
    </w:pPr>
    <w:rPr>
      <w:rFonts w:eastAsia="Arial" w:cs="Arial"/>
      <w:color w:val="1F4D78"/>
      <w:sz w:val="22"/>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LSTable">
    <w:name w:val="QLS Table"/>
    <w:basedOn w:val="TableNormal"/>
    <w:uiPriority w:val="99"/>
    <w:rsid w:val="00D85774"/>
    <w:rPr>
      <w:sz w:val="18"/>
    </w:rPr>
    <w:tblPr>
      <w:tblStyleRowBandSize w:val="1"/>
      <w:tblInd w:w="113" w:type="dxa"/>
      <w:tblBorders>
        <w:bottom w:val="single" w:sz="4" w:space="0" w:color="BFBFBF"/>
        <w:insideH w:val="single" w:sz="4" w:space="0" w:color="BFBFBF"/>
        <w:insideV w:val="single" w:sz="4" w:space="0" w:color="BFBFBF"/>
      </w:tblBorders>
      <w:tblCellMar>
        <w:top w:w="113" w:type="dxa"/>
        <w:left w:w="113" w:type="dxa"/>
        <w:right w:w="113" w:type="dxa"/>
      </w:tblCellMar>
    </w:tblPr>
    <w:tcPr>
      <w:noWrap/>
    </w:tcPr>
    <w:tblStylePr w:type="firstRow">
      <w:rPr>
        <w:rFonts w:ascii="Arial" w:hAnsi="Arial"/>
        <w:b/>
        <w:sz w:val="18"/>
      </w:rPr>
      <w:tblPr/>
      <w:tcPr>
        <w:shd w:val="clear" w:color="auto" w:fill="D9D9D9"/>
      </w:tcPr>
    </w:tblStylePr>
    <w:tblStylePr w:type="band2Horz">
      <w:tblPr/>
      <w:tcPr>
        <w:shd w:val="clear" w:color="auto" w:fill="F2F2F2"/>
      </w:tcPr>
    </w:tblStylePr>
  </w:style>
  <w:style w:type="character" w:customStyle="1" w:styleId="Heading1Char">
    <w:name w:val="Heading 1 Char"/>
    <w:link w:val="Heading1"/>
    <w:uiPriority w:val="9"/>
    <w:rsid w:val="001F3BAF"/>
    <w:rPr>
      <w:rFonts w:eastAsia="Arial" w:cs="Arial"/>
      <w:b/>
      <w:bCs/>
      <w:color w:val="0F2D52"/>
      <w:kern w:val="32"/>
      <w:sz w:val="32"/>
      <w:szCs w:val="32"/>
      <w:lang w:val="en-AU" w:eastAsia="en-AU"/>
    </w:rPr>
  </w:style>
  <w:style w:type="character" w:customStyle="1" w:styleId="Heading2Char">
    <w:name w:val="Heading 2 Char"/>
    <w:link w:val="Heading2"/>
    <w:uiPriority w:val="9"/>
    <w:rsid w:val="001F3BAF"/>
    <w:rPr>
      <w:rFonts w:eastAsia="Arial" w:cs="Arial"/>
      <w:b/>
      <w:bCs/>
      <w:iCs/>
      <w:color w:val="0F2D52"/>
      <w:sz w:val="28"/>
      <w:szCs w:val="28"/>
      <w:lang w:val="en-AU" w:eastAsia="en-AU"/>
    </w:rPr>
  </w:style>
  <w:style w:type="character" w:styleId="Strong">
    <w:name w:val="Strong"/>
    <w:uiPriority w:val="5"/>
    <w:qFormat/>
    <w:rsid w:val="008D6083"/>
    <w:rPr>
      <w:b/>
      <w:bCs/>
    </w:rPr>
  </w:style>
  <w:style w:type="character" w:styleId="Emphasis">
    <w:name w:val="Emphasis"/>
    <w:uiPriority w:val="4"/>
    <w:qFormat/>
    <w:rsid w:val="00E76AE5"/>
    <w:rPr>
      <w:i/>
      <w:iCs/>
    </w:rPr>
  </w:style>
  <w:style w:type="paragraph" w:styleId="NoSpacing">
    <w:name w:val="No Spacing"/>
    <w:link w:val="NoSpacingChar"/>
    <w:uiPriority w:val="1"/>
    <w:qFormat/>
    <w:rsid w:val="00F412C6"/>
    <w:rPr>
      <w:lang w:val="en-AU" w:eastAsia="en-AU"/>
    </w:rPr>
  </w:style>
  <w:style w:type="paragraph" w:styleId="ListBullet">
    <w:name w:val="List Bullet"/>
    <w:basedOn w:val="Normal"/>
    <w:uiPriority w:val="19"/>
    <w:qFormat/>
    <w:rsid w:val="00BB00CF"/>
    <w:pPr>
      <w:numPr>
        <w:numId w:val="1"/>
      </w:numPr>
      <w:tabs>
        <w:tab w:val="clear" w:pos="360"/>
      </w:tabs>
      <w:spacing w:after="20"/>
      <w:ind w:left="340" w:hanging="340"/>
    </w:pPr>
    <w:rPr>
      <w:lang w:val="en-US"/>
    </w:rPr>
  </w:style>
  <w:style w:type="paragraph" w:styleId="ListNumber">
    <w:name w:val="List Number"/>
    <w:basedOn w:val="Normal"/>
    <w:uiPriority w:val="20"/>
    <w:qFormat/>
    <w:rsid w:val="0011154A"/>
    <w:pPr>
      <w:numPr>
        <w:numId w:val="2"/>
      </w:numPr>
      <w:spacing w:after="60"/>
    </w:pPr>
    <w:rPr>
      <w:sz w:val="18"/>
      <w:lang w:val="en-US"/>
    </w:rPr>
  </w:style>
  <w:style w:type="character" w:customStyle="1" w:styleId="Heading3Char">
    <w:name w:val="Heading 3 Char"/>
    <w:link w:val="Heading3"/>
    <w:uiPriority w:val="9"/>
    <w:rsid w:val="00257E78"/>
    <w:rPr>
      <w:rFonts w:eastAsia="Arial" w:cs="Arial"/>
      <w:b/>
      <w:iCs/>
      <w:color w:val="0F2D52"/>
      <w:sz w:val="24"/>
      <w:szCs w:val="24"/>
      <w:lang w:val="en-AU" w:eastAsia="en-AU"/>
    </w:rPr>
  </w:style>
  <w:style w:type="paragraph" w:customStyle="1" w:styleId="NumberedHeading2">
    <w:name w:val="Numbered Heading 2"/>
    <w:basedOn w:val="Normal"/>
    <w:next w:val="Normal"/>
    <w:link w:val="NumberedHeading2Char"/>
    <w:uiPriority w:val="7"/>
    <w:qFormat/>
    <w:rsid w:val="00A30EAA"/>
    <w:pPr>
      <w:numPr>
        <w:ilvl w:val="1"/>
        <w:numId w:val="5"/>
      </w:numPr>
      <w:spacing w:before="240"/>
      <w:ind w:left="284" w:hanging="284"/>
    </w:pPr>
    <w:rPr>
      <w:b/>
      <w:color w:val="0F2D52"/>
      <w:sz w:val="24"/>
      <w:szCs w:val="24"/>
    </w:rPr>
  </w:style>
  <w:style w:type="numbering" w:customStyle="1" w:styleId="QLSMultilevelList">
    <w:name w:val="QLS Multilevel List"/>
    <w:uiPriority w:val="99"/>
    <w:rsid w:val="00A73DDA"/>
    <w:pPr>
      <w:numPr>
        <w:numId w:val="3"/>
      </w:numPr>
    </w:pPr>
  </w:style>
  <w:style w:type="character" w:customStyle="1" w:styleId="NumberedHeading2Char">
    <w:name w:val="Numbered Heading 2 Char"/>
    <w:link w:val="NumberedHeading2"/>
    <w:uiPriority w:val="7"/>
    <w:rsid w:val="00A30EAA"/>
    <w:rPr>
      <w:rFonts w:eastAsia="Arial" w:cs="Arial"/>
      <w:b/>
      <w:color w:val="0F2D52"/>
      <w:sz w:val="24"/>
      <w:szCs w:val="24"/>
      <w:lang w:val="en-AU" w:eastAsia="en-AU"/>
    </w:rPr>
  </w:style>
  <w:style w:type="paragraph" w:styleId="Header">
    <w:name w:val="header"/>
    <w:basedOn w:val="Normal"/>
    <w:link w:val="HeaderChar"/>
    <w:uiPriority w:val="99"/>
    <w:rsid w:val="00AB13FF"/>
    <w:pPr>
      <w:tabs>
        <w:tab w:val="center" w:pos="4513"/>
        <w:tab w:val="right" w:pos="9026"/>
      </w:tabs>
    </w:pPr>
    <w:rPr>
      <w:b/>
      <w:color w:val="0F2D52"/>
      <w:sz w:val="96"/>
    </w:rPr>
  </w:style>
  <w:style w:type="character" w:customStyle="1" w:styleId="HeaderChar">
    <w:name w:val="Header Char"/>
    <w:link w:val="Header"/>
    <w:uiPriority w:val="99"/>
    <w:rsid w:val="00AB13FF"/>
    <w:rPr>
      <w:rFonts w:eastAsia="Arial" w:cs="Arial"/>
      <w:b/>
      <w:color w:val="0F2D52"/>
      <w:sz w:val="96"/>
      <w:szCs w:val="22"/>
      <w:lang w:val="en-AU" w:eastAsia="en-AU"/>
    </w:rPr>
  </w:style>
  <w:style w:type="paragraph" w:styleId="Footer">
    <w:name w:val="footer"/>
    <w:basedOn w:val="Normal"/>
    <w:link w:val="FooterChar"/>
    <w:uiPriority w:val="99"/>
    <w:rsid w:val="000E3D3A"/>
    <w:pPr>
      <w:tabs>
        <w:tab w:val="center" w:pos="4513"/>
        <w:tab w:val="right" w:pos="9026"/>
      </w:tabs>
    </w:pPr>
  </w:style>
  <w:style w:type="character" w:customStyle="1" w:styleId="FooterChar">
    <w:name w:val="Footer Char"/>
    <w:basedOn w:val="DefaultParagraphFont"/>
    <w:link w:val="Footer"/>
    <w:uiPriority w:val="99"/>
    <w:rsid w:val="00BF63B4"/>
  </w:style>
  <w:style w:type="table" w:customStyle="1" w:styleId="QLSTable2">
    <w:name w:val="QLS Table 2"/>
    <w:basedOn w:val="QLSTable"/>
    <w:uiPriority w:val="99"/>
    <w:rsid w:val="00C4601E"/>
    <w:tblPr/>
    <w:tblStylePr w:type="firstRow">
      <w:rPr>
        <w:rFonts w:ascii="Arial" w:hAnsi="Arial"/>
        <w:b/>
        <w:color w:val="FFFFFF"/>
        <w:sz w:val="20"/>
      </w:rPr>
      <w:tblPr/>
      <w:tcPr>
        <w:shd w:val="clear" w:color="auto" w:fill="404040"/>
      </w:tcPr>
    </w:tblStylePr>
    <w:tblStylePr w:type="band2Horz">
      <w:tblPr/>
      <w:tcPr>
        <w:shd w:val="clear" w:color="auto" w:fill="F2F2F2"/>
      </w:tcPr>
    </w:tblStylePr>
  </w:style>
  <w:style w:type="paragraph" w:customStyle="1" w:styleId="Tablecontent">
    <w:name w:val="Table content"/>
    <w:next w:val="Normal"/>
    <w:uiPriority w:val="24"/>
    <w:qFormat/>
    <w:rsid w:val="009D118A"/>
    <w:pPr>
      <w:spacing w:after="120"/>
    </w:pPr>
    <w:rPr>
      <w:sz w:val="18"/>
      <w:szCs w:val="18"/>
      <w:lang w:val="en-AU" w:eastAsia="en-AU"/>
    </w:rPr>
  </w:style>
  <w:style w:type="table" w:customStyle="1" w:styleId="QLSTable3">
    <w:name w:val="QLS Table 3"/>
    <w:basedOn w:val="QLSTable"/>
    <w:uiPriority w:val="99"/>
    <w:rsid w:val="00943F92"/>
    <w:tblPr/>
    <w:tblStylePr w:type="firstRow">
      <w:rPr>
        <w:rFonts w:ascii="Arial" w:hAnsi="Arial"/>
        <w:b w:val="0"/>
        <w:sz w:val="18"/>
      </w:rPr>
      <w:tblPr/>
      <w:tcPr>
        <w:shd w:val="clear" w:color="auto" w:fill="FFFFFF"/>
      </w:tcPr>
    </w:tblStylePr>
    <w:tblStylePr w:type="band2Horz">
      <w:tblPr/>
      <w:tcPr>
        <w:shd w:val="clear" w:color="auto" w:fill="F2F2F2"/>
      </w:tcPr>
    </w:tblStylePr>
  </w:style>
  <w:style w:type="paragraph" w:styleId="BalloonText">
    <w:name w:val="Balloon Text"/>
    <w:basedOn w:val="Normal"/>
    <w:link w:val="BalloonTextChar"/>
    <w:uiPriority w:val="99"/>
    <w:semiHidden/>
    <w:rsid w:val="004F697B"/>
    <w:pPr>
      <w:spacing w:after="0"/>
    </w:pPr>
    <w:rPr>
      <w:rFonts w:ascii="Tahoma" w:hAnsi="Tahoma" w:cs="Tahoma"/>
      <w:sz w:val="16"/>
      <w:szCs w:val="16"/>
    </w:rPr>
  </w:style>
  <w:style w:type="character" w:customStyle="1" w:styleId="BalloonTextChar">
    <w:name w:val="Balloon Text Char"/>
    <w:link w:val="BalloonText"/>
    <w:uiPriority w:val="99"/>
    <w:semiHidden/>
    <w:rsid w:val="004F697B"/>
    <w:rPr>
      <w:rFonts w:ascii="Tahoma" w:hAnsi="Tahoma" w:cs="Tahoma"/>
      <w:sz w:val="16"/>
      <w:szCs w:val="16"/>
    </w:rPr>
  </w:style>
  <w:style w:type="paragraph" w:customStyle="1" w:styleId="NumberedHeading1">
    <w:name w:val="Numbered Heading 1"/>
    <w:basedOn w:val="Normal"/>
    <w:next w:val="Normal"/>
    <w:uiPriority w:val="6"/>
    <w:qFormat/>
    <w:rsid w:val="00B117E6"/>
    <w:pPr>
      <w:numPr>
        <w:numId w:val="5"/>
      </w:numPr>
      <w:tabs>
        <w:tab w:val="num" w:pos="1985"/>
      </w:tabs>
      <w:spacing w:before="360"/>
      <w:ind w:left="1871" w:hanging="1871"/>
    </w:pPr>
    <w:rPr>
      <w:b/>
      <w:color w:val="0F2D52"/>
      <w:sz w:val="32"/>
    </w:rPr>
  </w:style>
  <w:style w:type="character" w:customStyle="1" w:styleId="NoSpacingChar">
    <w:name w:val="No Spacing Char"/>
    <w:link w:val="NoSpacing"/>
    <w:uiPriority w:val="99"/>
    <w:rsid w:val="00EB4382"/>
  </w:style>
  <w:style w:type="paragraph" w:customStyle="1" w:styleId="Style1">
    <w:name w:val="Style1"/>
    <w:basedOn w:val="Normal"/>
    <w:next w:val="Normal"/>
    <w:link w:val="Style1Char"/>
    <w:semiHidden/>
    <w:rsid w:val="00A82E1D"/>
    <w:pPr>
      <w:numPr>
        <w:ilvl w:val="1"/>
        <w:numId w:val="4"/>
      </w:numPr>
    </w:pPr>
  </w:style>
  <w:style w:type="paragraph" w:styleId="TOC1">
    <w:name w:val="toc 1"/>
    <w:basedOn w:val="Normal"/>
    <w:next w:val="Normal"/>
    <w:autoRedefine/>
    <w:uiPriority w:val="39"/>
    <w:qFormat/>
    <w:rsid w:val="0095352B"/>
    <w:pPr>
      <w:spacing w:before="120" w:after="0"/>
    </w:pPr>
    <w:rPr>
      <w:rFonts w:cstheme="majorHAnsi"/>
      <w:b/>
      <w:bCs/>
      <w:caps/>
      <w:color w:val="0F2D52"/>
      <w:sz w:val="24"/>
      <w:szCs w:val="24"/>
    </w:rPr>
  </w:style>
  <w:style w:type="character" w:customStyle="1" w:styleId="Style1Char">
    <w:name w:val="Style1 Char"/>
    <w:link w:val="Style1"/>
    <w:semiHidden/>
    <w:rsid w:val="00A82E1D"/>
    <w:rPr>
      <w:lang w:val="en-AU" w:eastAsia="en-AU"/>
    </w:rPr>
  </w:style>
  <w:style w:type="paragraph" w:styleId="TOC2">
    <w:name w:val="toc 2"/>
    <w:basedOn w:val="TOC1"/>
    <w:next w:val="Normal"/>
    <w:autoRedefine/>
    <w:uiPriority w:val="39"/>
    <w:qFormat/>
    <w:rsid w:val="0056066C"/>
    <w:pPr>
      <w:spacing w:before="80"/>
    </w:pPr>
    <w:rPr>
      <w:rFonts w:cstheme="minorHAnsi"/>
      <w:b w:val="0"/>
      <w:caps w:val="0"/>
      <w:color w:val="000000" w:themeColor="text1"/>
      <w:sz w:val="20"/>
      <w:szCs w:val="20"/>
    </w:rPr>
  </w:style>
  <w:style w:type="character" w:styleId="Hyperlink">
    <w:name w:val="Hyperlink"/>
    <w:uiPriority w:val="99"/>
    <w:unhideWhenUsed/>
    <w:rsid w:val="0085258D"/>
    <w:rPr>
      <w:color w:val="0000FF"/>
      <w:u w:val="single"/>
    </w:rPr>
  </w:style>
  <w:style w:type="paragraph" w:customStyle="1" w:styleId="NumberedHeading3">
    <w:name w:val="Numbered Heading 3"/>
    <w:basedOn w:val="NumberedHeading2"/>
    <w:next w:val="Normal"/>
    <w:link w:val="NumberedHeading3Char"/>
    <w:uiPriority w:val="8"/>
    <w:qFormat/>
    <w:rsid w:val="00257E78"/>
    <w:pPr>
      <w:numPr>
        <w:ilvl w:val="2"/>
      </w:numPr>
      <w:tabs>
        <w:tab w:val="num" w:pos="1361"/>
      </w:tabs>
    </w:pPr>
    <w:rPr>
      <w:sz w:val="20"/>
    </w:rPr>
  </w:style>
  <w:style w:type="paragraph" w:customStyle="1" w:styleId="IndentedNormal">
    <w:name w:val="Indented Normal"/>
    <w:basedOn w:val="Normal"/>
    <w:next w:val="Normal"/>
    <w:link w:val="IndentedNormalChar"/>
    <w:semiHidden/>
    <w:qFormat/>
    <w:rsid w:val="0036175C"/>
  </w:style>
  <w:style w:type="character" w:customStyle="1" w:styleId="NumberedHeading3Char">
    <w:name w:val="Numbered Heading 3 Char"/>
    <w:link w:val="NumberedHeading3"/>
    <w:uiPriority w:val="8"/>
    <w:rsid w:val="00257E78"/>
    <w:rPr>
      <w:rFonts w:eastAsia="Arial" w:cs="Arial"/>
      <w:b/>
      <w:color w:val="0F2D52"/>
      <w:szCs w:val="22"/>
      <w:lang w:val="en-AU" w:eastAsia="en-AU"/>
    </w:rPr>
  </w:style>
  <w:style w:type="character" w:customStyle="1" w:styleId="IndentedNormalChar">
    <w:name w:val="Indented Normal Char"/>
    <w:basedOn w:val="DefaultParagraphFont"/>
    <w:link w:val="IndentedNormal"/>
    <w:semiHidden/>
    <w:rsid w:val="00A82E1D"/>
  </w:style>
  <w:style w:type="paragraph" w:styleId="TOCHeading">
    <w:name w:val="TOC Heading"/>
    <w:basedOn w:val="Heading1"/>
    <w:next w:val="Normal"/>
    <w:uiPriority w:val="39"/>
    <w:unhideWhenUsed/>
    <w:qFormat/>
    <w:rsid w:val="00257E78"/>
    <w:pPr>
      <w:keepLines/>
      <w:spacing w:before="480" w:after="0" w:line="276" w:lineRule="auto"/>
      <w:outlineLvl w:val="9"/>
    </w:pPr>
    <w:rPr>
      <w:rFonts w:eastAsia="MS Gothic"/>
      <w:kern w:val="0"/>
      <w:szCs w:val="28"/>
      <w:lang w:val="en-US" w:eastAsia="ja-JP"/>
    </w:rPr>
  </w:style>
  <w:style w:type="paragraph" w:styleId="TOC3">
    <w:name w:val="toc 3"/>
    <w:basedOn w:val="TOC2"/>
    <w:next w:val="Normal"/>
    <w:autoRedefine/>
    <w:uiPriority w:val="39"/>
    <w:unhideWhenUsed/>
    <w:qFormat/>
    <w:rsid w:val="00C11595"/>
    <w:pPr>
      <w:tabs>
        <w:tab w:val="right" w:leader="dot" w:pos="9016"/>
      </w:tabs>
      <w:spacing w:before="0"/>
      <w:ind w:left="425"/>
    </w:pPr>
    <w:rPr>
      <w:bCs w:val="0"/>
    </w:rPr>
  </w:style>
  <w:style w:type="paragraph" w:customStyle="1" w:styleId="Body">
    <w:name w:val="Body"/>
    <w:basedOn w:val="Normal"/>
    <w:link w:val="BodyChar"/>
    <w:qFormat/>
    <w:rsid w:val="00A30EAA"/>
    <w:pPr>
      <w:spacing w:after="80"/>
    </w:pPr>
    <w:rPr>
      <w:color w:val="404040"/>
      <w:sz w:val="20"/>
      <w:szCs w:val="20"/>
      <w:lang w:eastAsia="en-US"/>
    </w:rPr>
  </w:style>
  <w:style w:type="character" w:customStyle="1" w:styleId="BodyChar">
    <w:name w:val="Body Char"/>
    <w:link w:val="Body"/>
    <w:rsid w:val="00A30EAA"/>
    <w:rPr>
      <w:rFonts w:eastAsia="Arial" w:cs="Arial"/>
      <w:color w:val="404040"/>
      <w:lang w:val="en-AU"/>
    </w:rPr>
  </w:style>
  <w:style w:type="character" w:styleId="FootnoteReference">
    <w:name w:val="footnote reference"/>
    <w:uiPriority w:val="99"/>
    <w:semiHidden/>
    <w:unhideWhenUsed/>
    <w:rsid w:val="005776EE"/>
    <w:rPr>
      <w:vertAlign w:val="superscript"/>
    </w:rPr>
  </w:style>
  <w:style w:type="paragraph" w:styleId="ListParagraph">
    <w:name w:val="List Paragraph"/>
    <w:basedOn w:val="Body"/>
    <w:qFormat/>
    <w:rsid w:val="007E650E"/>
    <w:pPr>
      <w:numPr>
        <w:numId w:val="18"/>
      </w:numPr>
      <w:spacing w:after="40"/>
      <w:ind w:left="714" w:hanging="357"/>
    </w:pPr>
    <w:rPr>
      <w:szCs w:val="22"/>
      <w:lang w:eastAsia="en-AU"/>
    </w:rPr>
  </w:style>
  <w:style w:type="character" w:customStyle="1" w:styleId="Heading4Char">
    <w:name w:val="Heading 4 Char"/>
    <w:basedOn w:val="DefaultParagraphFont"/>
    <w:link w:val="Heading4"/>
    <w:uiPriority w:val="9"/>
    <w:rsid w:val="00660EB6"/>
    <w:rPr>
      <w:rFonts w:eastAsia="Arial" w:cs="Arial"/>
      <w:b/>
      <w:iCs/>
      <w:color w:val="0F2D52"/>
      <w:sz w:val="22"/>
      <w:szCs w:val="22"/>
      <w:lang w:val="en-AU" w:eastAsia="en-AU"/>
    </w:rPr>
  </w:style>
  <w:style w:type="character" w:customStyle="1" w:styleId="Heading5Char">
    <w:name w:val="Heading 5 Char"/>
    <w:basedOn w:val="DefaultParagraphFont"/>
    <w:link w:val="Heading5"/>
    <w:uiPriority w:val="9"/>
    <w:rsid w:val="005776EE"/>
    <w:rPr>
      <w:rFonts w:eastAsia="Arial" w:cs="Arial"/>
      <w:color w:val="2E74B5"/>
      <w:sz w:val="22"/>
      <w:szCs w:val="22"/>
      <w:lang w:val="en-AU" w:eastAsia="en-AU"/>
    </w:rPr>
  </w:style>
  <w:style w:type="character" w:customStyle="1" w:styleId="Heading6Char">
    <w:name w:val="Heading 6 Char"/>
    <w:basedOn w:val="DefaultParagraphFont"/>
    <w:link w:val="Heading6"/>
    <w:uiPriority w:val="9"/>
    <w:semiHidden/>
    <w:rsid w:val="005776EE"/>
    <w:rPr>
      <w:rFonts w:eastAsia="Arial" w:cs="Arial"/>
      <w:color w:val="1F4D78"/>
      <w:sz w:val="22"/>
      <w:szCs w:val="22"/>
      <w:lang w:val="en-AU" w:eastAsia="en-AU"/>
    </w:rPr>
  </w:style>
  <w:style w:type="paragraph" w:styleId="Title">
    <w:name w:val="Title"/>
    <w:link w:val="TitleChar"/>
    <w:uiPriority w:val="10"/>
    <w:qFormat/>
    <w:rsid w:val="00257E78"/>
    <w:rPr>
      <w:rFonts w:eastAsia="Arial" w:cs="Arial"/>
      <w:b/>
      <w:color w:val="0F2D52"/>
      <w:sz w:val="44"/>
      <w:szCs w:val="56"/>
      <w:lang w:val="en-AU" w:eastAsia="en-AU"/>
    </w:rPr>
  </w:style>
  <w:style w:type="character" w:customStyle="1" w:styleId="TitleChar">
    <w:name w:val="Title Char"/>
    <w:basedOn w:val="DefaultParagraphFont"/>
    <w:link w:val="Title"/>
    <w:uiPriority w:val="10"/>
    <w:rsid w:val="00257E78"/>
    <w:rPr>
      <w:rFonts w:eastAsia="Arial" w:cs="Arial"/>
      <w:b/>
      <w:color w:val="0F2D52"/>
      <w:sz w:val="44"/>
      <w:szCs w:val="56"/>
      <w:lang w:val="en-AU" w:eastAsia="en-AU"/>
    </w:rPr>
  </w:style>
  <w:style w:type="paragraph" w:customStyle="1" w:styleId="Strong1">
    <w:name w:val="Strong1"/>
    <w:qFormat/>
    <w:rsid w:val="005776EE"/>
    <w:rPr>
      <w:rFonts w:eastAsia="Arial" w:cs="Arial"/>
      <w:b/>
      <w:bCs/>
      <w:sz w:val="22"/>
      <w:szCs w:val="22"/>
      <w:lang w:val="en-AU" w:eastAsia="en-AU"/>
    </w:rPr>
  </w:style>
  <w:style w:type="paragraph" w:styleId="FootnoteText">
    <w:name w:val="footnote text"/>
    <w:link w:val="FootnoteTextChar"/>
    <w:uiPriority w:val="99"/>
    <w:semiHidden/>
    <w:unhideWhenUsed/>
    <w:rsid w:val="005776EE"/>
    <w:rPr>
      <w:rFonts w:eastAsia="Arial" w:cs="Arial"/>
      <w:lang w:val="en-AU" w:eastAsia="en-AU"/>
    </w:rPr>
  </w:style>
  <w:style w:type="character" w:customStyle="1" w:styleId="FootnoteTextChar">
    <w:name w:val="Footnote Text Char"/>
    <w:basedOn w:val="DefaultParagraphFont"/>
    <w:link w:val="FootnoteText"/>
    <w:uiPriority w:val="99"/>
    <w:semiHidden/>
    <w:rsid w:val="005776EE"/>
    <w:rPr>
      <w:rFonts w:eastAsia="Arial" w:cs="Arial"/>
      <w:lang w:val="en-AU" w:eastAsia="en-AU"/>
    </w:rPr>
  </w:style>
  <w:style w:type="character" w:styleId="UnresolvedMention">
    <w:name w:val="Unresolved Mention"/>
    <w:basedOn w:val="DefaultParagraphFont"/>
    <w:uiPriority w:val="99"/>
    <w:semiHidden/>
    <w:unhideWhenUsed/>
    <w:rsid w:val="005776EE"/>
    <w:rPr>
      <w:color w:val="605E5C"/>
      <w:shd w:val="clear" w:color="auto" w:fill="E1DFDD"/>
    </w:rPr>
  </w:style>
  <w:style w:type="paragraph" w:styleId="TOC4">
    <w:name w:val="toc 4"/>
    <w:basedOn w:val="Normal"/>
    <w:next w:val="Normal"/>
    <w:autoRedefine/>
    <w:uiPriority w:val="39"/>
    <w:unhideWhenUsed/>
    <w:rsid w:val="002B4E3B"/>
    <w:pPr>
      <w:tabs>
        <w:tab w:val="left" w:pos="1722"/>
        <w:tab w:val="right" w:leader="dot" w:pos="9016"/>
      </w:tabs>
      <w:spacing w:after="0"/>
      <w:ind w:left="851"/>
    </w:pPr>
    <w:rPr>
      <w:rFonts w:cstheme="minorHAnsi"/>
      <w:sz w:val="20"/>
      <w:szCs w:val="20"/>
    </w:rPr>
  </w:style>
  <w:style w:type="paragraph" w:styleId="TOC5">
    <w:name w:val="toc 5"/>
    <w:basedOn w:val="Normal"/>
    <w:next w:val="Normal"/>
    <w:autoRedefine/>
    <w:uiPriority w:val="39"/>
    <w:unhideWhenUsed/>
    <w:rsid w:val="00035417"/>
    <w:pPr>
      <w:spacing w:after="0"/>
    </w:pPr>
    <w:rPr>
      <w:rFonts w:cstheme="minorHAnsi"/>
      <w:sz w:val="20"/>
      <w:szCs w:val="20"/>
    </w:rPr>
  </w:style>
  <w:style w:type="paragraph" w:styleId="TOC6">
    <w:name w:val="toc 6"/>
    <w:basedOn w:val="Normal"/>
    <w:next w:val="Normal"/>
    <w:autoRedefine/>
    <w:uiPriority w:val="39"/>
    <w:unhideWhenUsed/>
    <w:rsid w:val="00035417"/>
    <w:pPr>
      <w:tabs>
        <w:tab w:val="right" w:leader="dot" w:pos="9016"/>
      </w:tabs>
      <w:spacing w:after="0"/>
      <w:ind w:left="425"/>
    </w:pPr>
    <w:rPr>
      <w:rFonts w:cstheme="minorHAnsi"/>
      <w:sz w:val="20"/>
      <w:szCs w:val="20"/>
    </w:rPr>
  </w:style>
  <w:style w:type="paragraph" w:styleId="TOC7">
    <w:name w:val="toc 7"/>
    <w:basedOn w:val="Normal"/>
    <w:next w:val="Normal"/>
    <w:autoRedefine/>
    <w:uiPriority w:val="39"/>
    <w:unhideWhenUsed/>
    <w:rsid w:val="005776EE"/>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5776EE"/>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5776EE"/>
    <w:pPr>
      <w:spacing w:after="0"/>
      <w:ind w:left="1540"/>
    </w:pPr>
    <w:rPr>
      <w:rFonts w:asciiTheme="minorHAnsi" w:hAnsiTheme="minorHAnsi" w:cstheme="minorHAnsi"/>
      <w:sz w:val="20"/>
      <w:szCs w:val="20"/>
    </w:rPr>
  </w:style>
  <w:style w:type="character" w:styleId="CommentReference">
    <w:name w:val="annotation reference"/>
    <w:basedOn w:val="DefaultParagraphFont"/>
    <w:uiPriority w:val="99"/>
    <w:semiHidden/>
    <w:rsid w:val="000125C7"/>
    <w:rPr>
      <w:sz w:val="16"/>
      <w:szCs w:val="16"/>
    </w:rPr>
  </w:style>
  <w:style w:type="paragraph" w:styleId="CommentText">
    <w:name w:val="annotation text"/>
    <w:basedOn w:val="Normal"/>
    <w:link w:val="CommentTextChar"/>
    <w:uiPriority w:val="99"/>
    <w:semiHidden/>
    <w:rsid w:val="000125C7"/>
  </w:style>
  <w:style w:type="character" w:customStyle="1" w:styleId="CommentTextChar">
    <w:name w:val="Comment Text Char"/>
    <w:basedOn w:val="DefaultParagraphFont"/>
    <w:link w:val="CommentText"/>
    <w:uiPriority w:val="99"/>
    <w:semiHidden/>
    <w:rsid w:val="000125C7"/>
    <w:rPr>
      <w:lang w:val="en-AU" w:eastAsia="en-AU"/>
    </w:rPr>
  </w:style>
  <w:style w:type="paragraph" w:styleId="CommentSubject">
    <w:name w:val="annotation subject"/>
    <w:basedOn w:val="CommentText"/>
    <w:next w:val="CommentText"/>
    <w:link w:val="CommentSubjectChar"/>
    <w:uiPriority w:val="99"/>
    <w:semiHidden/>
    <w:rsid w:val="000125C7"/>
    <w:rPr>
      <w:b/>
      <w:bCs/>
    </w:rPr>
  </w:style>
  <w:style w:type="character" w:customStyle="1" w:styleId="CommentSubjectChar">
    <w:name w:val="Comment Subject Char"/>
    <w:basedOn w:val="CommentTextChar"/>
    <w:link w:val="CommentSubject"/>
    <w:uiPriority w:val="99"/>
    <w:semiHidden/>
    <w:rsid w:val="000125C7"/>
    <w:rPr>
      <w:b/>
      <w:bCs/>
      <w:lang w:val="en-AU" w:eastAsia="en-AU"/>
    </w:rPr>
  </w:style>
  <w:style w:type="paragraph" w:customStyle="1" w:styleId="Footnote">
    <w:name w:val="Footnote"/>
    <w:basedOn w:val="Normal"/>
    <w:link w:val="FootnoteChar"/>
    <w:qFormat/>
    <w:rsid w:val="00E3267A"/>
    <w:pPr>
      <w:spacing w:after="0"/>
    </w:pPr>
    <w:rPr>
      <w:sz w:val="16"/>
      <w:szCs w:val="18"/>
    </w:rPr>
  </w:style>
  <w:style w:type="character" w:customStyle="1" w:styleId="FootnoteChar">
    <w:name w:val="Footnote Char"/>
    <w:basedOn w:val="DefaultParagraphFont"/>
    <w:link w:val="Footnote"/>
    <w:rsid w:val="00E3267A"/>
    <w:rPr>
      <w:rFonts w:eastAsia="Arial" w:cs="Arial"/>
      <w:sz w:val="16"/>
      <w:szCs w:val="18"/>
      <w:lang w:val="en-AU" w:eastAsia="en-AU"/>
    </w:rPr>
  </w:style>
  <w:style w:type="paragraph" w:customStyle="1" w:styleId="Doctitle">
    <w:name w:val="Doc title"/>
    <w:basedOn w:val="Normal"/>
    <w:link w:val="DoctitleChar"/>
    <w:qFormat/>
    <w:rsid w:val="00257E78"/>
    <w:rPr>
      <w:b/>
      <w:bCs/>
      <w:color w:val="FFFFFF" w:themeColor="background1"/>
      <w:sz w:val="96"/>
      <w:szCs w:val="96"/>
    </w:rPr>
  </w:style>
  <w:style w:type="character" w:customStyle="1" w:styleId="DoctitleChar">
    <w:name w:val="Doc title Char"/>
    <w:basedOn w:val="DefaultParagraphFont"/>
    <w:link w:val="Doctitle"/>
    <w:rsid w:val="00257E78"/>
    <w:rPr>
      <w:rFonts w:eastAsia="Arial" w:cs="Arial"/>
      <w:b/>
      <w:bCs/>
      <w:color w:val="FFFFFF" w:themeColor="background1"/>
      <w:sz w:val="96"/>
      <w:szCs w:val="96"/>
      <w:lang w:val="en-AU" w:eastAsia="en-AU"/>
    </w:rPr>
  </w:style>
  <w:style w:type="paragraph" w:customStyle="1" w:styleId="TableHeading">
    <w:name w:val="Table Heading"/>
    <w:basedOn w:val="Normal"/>
    <w:qFormat/>
    <w:rsid w:val="00876BC1"/>
    <w:rPr>
      <w:b/>
      <w:bCs/>
      <w:color w:val="FFFFFF" w:themeColor="background1"/>
      <w:sz w:val="20"/>
    </w:rPr>
  </w:style>
  <w:style w:type="paragraph" w:customStyle="1" w:styleId="ChecklistListParagraph">
    <w:name w:val="Checklist List Paragraph"/>
    <w:basedOn w:val="Body"/>
    <w:link w:val="ChecklistListParagraphChar"/>
    <w:qFormat/>
    <w:rsid w:val="00DB7F49"/>
    <w:pPr>
      <w:numPr>
        <w:numId w:val="34"/>
      </w:numPr>
      <w:spacing w:after="20"/>
      <w:ind w:left="714" w:hanging="357"/>
    </w:pPr>
  </w:style>
  <w:style w:type="character" w:customStyle="1" w:styleId="ChecklistListParagraphChar">
    <w:name w:val="Checklist List Paragraph Char"/>
    <w:basedOn w:val="BodyChar"/>
    <w:link w:val="ChecklistListParagraph"/>
    <w:rsid w:val="00DB7F49"/>
    <w:rPr>
      <w:rFonts w:eastAsia="Arial" w:cs="Arial"/>
      <w:color w:val="404040"/>
      <w:sz w:val="18"/>
      <w:szCs w:val="18"/>
      <w:lang w:val="en-AU"/>
    </w:rPr>
  </w:style>
  <w:style w:type="paragraph" w:customStyle="1" w:styleId="Style2">
    <w:name w:val="Style2"/>
    <w:basedOn w:val="Header"/>
    <w:rsid w:val="00AB13FF"/>
  </w:style>
  <w:style w:type="paragraph" w:customStyle="1" w:styleId="Header2">
    <w:name w:val="Header 2"/>
    <w:basedOn w:val="Title"/>
    <w:link w:val="Header2Char"/>
    <w:qFormat/>
    <w:rsid w:val="00A30EAA"/>
    <w:rPr>
      <w:sz w:val="36"/>
      <w:szCs w:val="36"/>
    </w:rPr>
  </w:style>
  <w:style w:type="character" w:customStyle="1" w:styleId="Header2Char">
    <w:name w:val="Header 2 Char"/>
    <w:basedOn w:val="TitleChar"/>
    <w:link w:val="Header2"/>
    <w:rsid w:val="00A30EAA"/>
    <w:rPr>
      <w:rFonts w:eastAsia="Arial" w:cs="Arial"/>
      <w:b/>
      <w:color w:val="0F2D52"/>
      <w:sz w:val="36"/>
      <w:szCs w:val="36"/>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si.org/smb1001" TargetMode="External"/><Relationship Id="rId18" Type="http://schemas.openxmlformats.org/officeDocument/2006/relationships/hyperlink" Target="https://www.oaic.gov.au/privacy/notifiable-data-breach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lassic.austlii.edu.au/au/legis/cth/consol_act/pa1988108/s6.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qlsproctor.com.au/2025/10/basic-cyber-steps-can-block-most-attack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qls.com.au/resource-centre/technology-and-innovation/cybersecurity" TargetMode="External"/><Relationship Id="rId20" Type="http://schemas.openxmlformats.org/officeDocument/2006/relationships/hyperlink" Target="https://www.qls.com.au/content-collections/checklists/cybersecurity-first-response-checkl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oaic.gov.au/privacy/privacy-guidance-for-organisations-and-government-agencies/organisations/template-privacy-collection-notice-for-reporting-entities-under-the-AML-CTF-Act" TargetMode="External"/><Relationship Id="rId23" Type="http://schemas.openxmlformats.org/officeDocument/2006/relationships/hyperlink" Target="https://www.qls.com.au/content-collections/checklists/cybersecurity-first-response-checklist" TargetMode="External"/><Relationship Id="rId10" Type="http://schemas.openxmlformats.org/officeDocument/2006/relationships/endnotes" Target="endnotes.xml"/><Relationship Id="rId19" Type="http://schemas.openxmlformats.org/officeDocument/2006/relationships/hyperlink" Target="https://www.qls.com.au/qls-membership/services-and-benefits/business-services/qls-cyber-essentials-insur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ls.com.au/content-collections/guides/document-retention-guide" TargetMode="External"/><Relationship Id="rId22" Type="http://schemas.openxmlformats.org/officeDocument/2006/relationships/hyperlink" Target="https://www.qls.com.au/content-collections/template/qls-password-protection-policy-templat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hcourt.gov.au/cases-and-judgments/judgments/judgments-1998-current/hearne-v-street" TargetMode="External"/><Relationship Id="rId18" Type="http://schemas.openxmlformats.org/officeDocument/2006/relationships/hyperlink" Target="https://www.oaic.gov.au/privacy/australian-privacy-principles/australian-privacy-principles-guidelines/chapter-5-app-5-notification-of-the-collection-of-personal-information" TargetMode="External"/><Relationship Id="rId26" Type="http://schemas.openxmlformats.org/officeDocument/2006/relationships/hyperlink" Target="https://www.austrac.gov.au/reforms/sector-specific-guidance/legal-profession-guidance/legal-profession-program-starter-kit/legal-profession-program-starter-kit-document-library" TargetMode="External"/><Relationship Id="rId21" Type="http://schemas.openxmlformats.org/officeDocument/2006/relationships/hyperlink" Target="https://www.cyber.gov.au/business-government/small-business-cyber-security/small-business-hub/small-business-cyber-security-guide%20" TargetMode="External"/><Relationship Id="rId34" Type="http://schemas.openxmlformats.org/officeDocument/2006/relationships/hyperlink" Target="https://www.cyber.gov.au/business-government/small-business-cyber-security/small-business-hub/small-business-cyber-security-guide" TargetMode="External"/><Relationship Id="rId7" Type="http://schemas.openxmlformats.org/officeDocument/2006/relationships/hyperlink" Target="https://www.austrac.gov.au/industry-and-business/about-amlctf-reforms/about-reforms" TargetMode="External"/><Relationship Id="rId12" Type="http://schemas.openxmlformats.org/officeDocument/2006/relationships/hyperlink" Target="https://www.liv.asn.au/Common/Uploaded%20files/Knowledge-Hub/AML/20251211_Ethics%20Guideline_Balancing_LPP_and_AML_Final.pdf?srsltid=AfmBOopEwcjwrhk5aWxJ9nQKzN9R5od8woAFmSVgzU-2qfP0zB7ou5KM" TargetMode="External"/><Relationship Id="rId17" Type="http://schemas.openxmlformats.org/officeDocument/2006/relationships/hyperlink" Target="https://qldlawsociety-my.sharepoint.com/personal/d_bowles_qls_com_au/Documents/AML%20CTF/And%20privacy/www.oaic.gov.au/privacy/privacy-guidance-for-organisations-and-government-agencies/more-guidance/guide-to-developing-an-app-privacy-policy" TargetMode="External"/><Relationship Id="rId25" Type="http://schemas.openxmlformats.org/officeDocument/2006/relationships/hyperlink" Target="https://www.oaic.gov.au/privacy/privacy-guidance-for-organisations-and-government-agencies/organisations/privacy-guidance-for-reporting-entities-under-the-anti-money-laundering-and-counter-terrorism-financing-act" TargetMode="External"/><Relationship Id="rId33" Type="http://schemas.openxmlformats.org/officeDocument/2006/relationships/hyperlink" Target="https://www.qls.com.au/content-collections/guides/document-retention-guide" TargetMode="External"/><Relationship Id="rId38" Type="http://schemas.openxmlformats.org/officeDocument/2006/relationships/hyperlink" Target="https://www.qls.com.au/resource-centre/practice-support/records-management/charging-for-document-storage" TargetMode="External"/><Relationship Id="rId2" Type="http://schemas.openxmlformats.org/officeDocument/2006/relationships/hyperlink" Target="https://www.oaic.gov.au/privacy/privacy-guidance-for-organisations-and-government-agencies/more-guidance/privacy-management-framework-enabling-compliance-and-encouraging-good-practice" TargetMode="External"/><Relationship Id="rId16" Type="http://schemas.openxmlformats.org/officeDocument/2006/relationships/hyperlink" Target="https://www.oaic.gov.au/privacy/australian-privacy-principles/australian-privacy-principles-guidelines/chapter-1-app-1-open-and-transparent-management-of-personal-information" TargetMode="External"/><Relationship Id="rId20" Type="http://schemas.openxmlformats.org/officeDocument/2006/relationships/hyperlink" Target="https://www.oaic.gov.au/privacy/australian-privacy-principles/australian-privacy-principles-guidelines" TargetMode="External"/><Relationship Id="rId29" Type="http://schemas.openxmlformats.org/officeDocument/2006/relationships/hyperlink" Target="https://www.arnecc.gov.au/wp-content/uploads/2021/08/mpr-guidance-note-2-verification-of-identity.pdf" TargetMode="External"/><Relationship Id="rId1" Type="http://schemas.openxmlformats.org/officeDocument/2006/relationships/hyperlink" Target="https://www.oaic.gov.au/privacy/privacy-guidance-for-organisations-and-government-agencies/organisations/privacy-guidance-for-reporting-entities-under-the-anti-money-laundering-and-counter-terrorism-financing-act" TargetMode="External"/><Relationship Id="rId6" Type="http://schemas.openxmlformats.org/officeDocument/2006/relationships/hyperlink" Target="https://www.oaic.gov.au/privacy/privacy-guidance-for-organisations-and-government-agencies/organisations/opting-in-to-the-privacy-act" TargetMode="External"/><Relationship Id="rId11" Type="http://schemas.openxmlformats.org/officeDocument/2006/relationships/hyperlink" Target="https://www.oaic.gov.au/privacy/privacy-guidance-for-organisations-and-government-agencies/organisations/privacy-guidance-for-reporting-entities-under-the-anti-money-laundering-and-counter-terrorism-financing-act%20" TargetMode="External"/><Relationship Id="rId24" Type="http://schemas.openxmlformats.org/officeDocument/2006/relationships/hyperlink" Target="https://www.qlsproctor.com.au/2021/06/who-owns-file-notes/" TargetMode="External"/><Relationship Id="rId32" Type="http://schemas.openxmlformats.org/officeDocument/2006/relationships/hyperlink" Target="https://www.oaic.gov.au/__data/assets/pdf_file/0035/256958/APP-Guidelines-Chapter-11-Security-of-personal-information-October-2025-v1.3.PDF" TargetMode="External"/><Relationship Id="rId37" Type="http://schemas.openxmlformats.org/officeDocument/2006/relationships/hyperlink" Target="https://www.oaic.gov.au/privacy/privacy-guidance-for-organisations-and-government-agencies/preventing-preparing-for-and-responding-to-data-breaches/data-breach-preparation-and-response/part-4-notifiable-data-breach-ndb-scheme" TargetMode="External"/><Relationship Id="rId5" Type="http://schemas.openxmlformats.org/officeDocument/2006/relationships/hyperlink" Target="https://www.austrac.gov.au/industry-and-business/obligations-and-guidance/your-amlctf-program/develop-your-amlctf-programs/record-keeping/record-keeping-overview" TargetMode="External"/><Relationship Id="rId15" Type="http://schemas.openxmlformats.org/officeDocument/2006/relationships/hyperlink" Target="https://qldlawsociety-my.sharepoint.com/personal/d_bowles_qls_com_au/Documents/AML%20CTF/And%20privacy/www.oaic.gov.au/privacy/australian-privacy-principles/australian-privacy-principles-guidelines/chapter-6-app-6-use-or-disclosure-of-personal-information" TargetMode="External"/><Relationship Id="rId23" Type="http://schemas.openxmlformats.org/officeDocument/2006/relationships/hyperlink" Target="https://www.qls.com.au/practising-law-in-qld/ethics/guidance-statements/no-30-transfer-of-files" TargetMode="External"/><Relationship Id="rId28" Type="http://schemas.openxmlformats.org/officeDocument/2006/relationships/hyperlink" Target="https://www.oaic.gov.au/privacy/privacy-guidance-for-organisations-and-government-agencies/organisations/privacy-guidance-for-reporting-entities-under-the-anti-money-laundering-and-counter-terrorism-financing-act" TargetMode="External"/><Relationship Id="rId36" Type="http://schemas.openxmlformats.org/officeDocument/2006/relationships/hyperlink" Target="https://www.qls.com.au/content-collections/guides/multi-factor-authentication-guide" TargetMode="External"/><Relationship Id="rId10" Type="http://schemas.openxmlformats.org/officeDocument/2006/relationships/hyperlink" Target="https://www.oaic.gov.au/privacy/australian-privacy-principles/australian-privacy-principles-guidelines" TargetMode="External"/><Relationship Id="rId19" Type="http://schemas.openxmlformats.org/officeDocument/2006/relationships/hyperlink" Target="https://www.oaic.gov.au/privacy/privacy-guidance-for-organisations-and-government-agencies/handling-personal-information/dealing-with-requests-for-access-to-personal-information" TargetMode="External"/><Relationship Id="rId31" Type="http://schemas.openxmlformats.org/officeDocument/2006/relationships/hyperlink" Target="https://classic.austlii.edu.au/au/legis/qld/consol_act/lpa2007179/s713a.html" TargetMode="External"/><Relationship Id="rId4" Type="http://schemas.openxmlformats.org/officeDocument/2006/relationships/hyperlink" Target="https://www.austrac.gov.au/business/amlctf-reforms/professional-services" TargetMode="External"/><Relationship Id="rId9" Type="http://schemas.openxmlformats.org/officeDocument/2006/relationships/hyperlink" Target="https://www.oaic.gov.au/privacy/australian-privacy-principles/australian-privacy-principles-guidelines/chapter-b-key-concepts%20" TargetMode="External"/><Relationship Id="rId14" Type="http://schemas.openxmlformats.org/officeDocument/2006/relationships/hyperlink" Target="https://www.qls.com.au/practising-law-in-qld/ethics/australian-solicitors-conduct-rules" TargetMode="External"/><Relationship Id="rId22" Type="http://schemas.openxmlformats.org/officeDocument/2006/relationships/hyperlink" Target="https://www.qls.com.au/content-collections/guides/document-retention-guide" TargetMode="External"/><Relationship Id="rId27" Type="http://schemas.openxmlformats.org/officeDocument/2006/relationships/hyperlink" Target="https://www.liv.asn.au/Common/Uploaded%20files/Knowledge-Hub/AML/20251211_Ethics%20Guideline_Balancing_LPP_and_AML_Final.pdf?srsltid=AfmBOorPmu_h1DMos1tsAjYGOluEPM9F0B89qF15ObctGAlgnSWWqzew" TargetMode="External"/><Relationship Id="rId30" Type="http://schemas.openxmlformats.org/officeDocument/2006/relationships/hyperlink" Target="https://www.arnecc.gov.au/wp-content/uploads/2021/08/Model_Participation_Rules_Guidance_Note_5_-_Retention_of_Evidence_Consultation_Draft.pdf" TargetMode="External"/><Relationship Id="rId35" Type="http://schemas.openxmlformats.org/officeDocument/2006/relationships/hyperlink" Target="https://www.qls.com.au/content-collections/template/qls-password-protection-policy-template" TargetMode="External"/><Relationship Id="rId8" Type="http://schemas.openxmlformats.org/officeDocument/2006/relationships/hyperlink" Target="https://www.oaic.gov.au/privacy/privacy-guidance-for-organisations-and-government-agencies/more-guidance/privacy-management-framework-enabling-compliance-and-encouraging-good-practice" TargetMode="External"/><Relationship Id="rId3" Type="http://schemas.openxmlformats.org/officeDocument/2006/relationships/hyperlink" Target="https://www.oaic.gov.au/privacy/australian-privacy-principles/australian-privacy-principles-guidelines/chapter-1-app-1-open-and-transparent-management-of-personal-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O:\word\Templates10\QLS%20Blank%20with%20logo,%20cover%20page%20and%20Basic%20footer%20DEC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45D213156E64DA94EA763FC872FF8" ma:contentTypeVersion="0" ma:contentTypeDescription="Create a new document." ma:contentTypeScope="" ma:versionID="7482f7a750ad1ee77fad76e6f43a605a">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6A2EC-2714-4ED6-BE02-0557869E7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D88AD6-B3F1-455D-B645-767826CEFE9D}">
  <ds:schemaRefs>
    <ds:schemaRef ds:uri="http://schemas.microsoft.com/sharepoint/v3/contenttype/forms"/>
  </ds:schemaRefs>
</ds:datastoreItem>
</file>

<file path=customXml/itemProps3.xml><?xml version="1.0" encoding="utf-8"?>
<ds:datastoreItem xmlns:ds="http://schemas.openxmlformats.org/officeDocument/2006/customXml" ds:itemID="{35DEA1CD-449A-49DF-A1C0-929B7EDE3E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E96858-5F1C-43BD-912B-CDD694683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QLS Blank with logo, cover page and Basic footer DEC16</Template>
  <TotalTime>7</TotalTime>
  <Pages>86</Pages>
  <Words>25509</Words>
  <Characters>135201</Characters>
  <Application>Microsoft Office Word</Application>
  <DocSecurity>0</DocSecurity>
  <Lines>2253</Lines>
  <Paragraphs>1516</Paragraphs>
  <ScaleCrop>false</ScaleCrop>
  <HeadingPairs>
    <vt:vector size="2" baseType="variant">
      <vt:variant>
        <vt:lpstr>Title</vt:lpstr>
      </vt:variant>
      <vt:variant>
        <vt:i4>1</vt:i4>
      </vt:variant>
    </vt:vector>
  </HeadingPairs>
  <TitlesOfParts>
    <vt:vector size="1" baseType="lpstr">
      <vt:lpstr/>
    </vt:vector>
  </TitlesOfParts>
  <Company>Queensland Law Society</Company>
  <LinksUpToDate>false</LinksUpToDate>
  <CharactersWithSpaces>159194</CharactersWithSpaces>
  <SharedDoc>false</SharedDoc>
  <HLinks>
    <vt:vector size="972" baseType="variant">
      <vt:variant>
        <vt:i4>65602</vt:i4>
      </vt:variant>
      <vt:variant>
        <vt:i4>846</vt:i4>
      </vt:variant>
      <vt:variant>
        <vt:i4>0</vt:i4>
      </vt:variant>
      <vt:variant>
        <vt:i4>5</vt:i4>
      </vt:variant>
      <vt:variant>
        <vt:lpwstr>https://www.qls.com.au/content-collections/checklists/cybersecurity-first-response-checklist</vt:lpwstr>
      </vt:variant>
      <vt:variant>
        <vt:lpwstr/>
      </vt:variant>
      <vt:variant>
        <vt:i4>5636128</vt:i4>
      </vt:variant>
      <vt:variant>
        <vt:i4>843</vt:i4>
      </vt:variant>
      <vt:variant>
        <vt:i4>0</vt:i4>
      </vt:variant>
      <vt:variant>
        <vt:i4>5</vt:i4>
      </vt:variant>
      <vt:variant>
        <vt:lpwstr>https://classic.austlii.edu.au/au/legis/cth/consol_act/pa1988108/s6.html</vt:lpwstr>
      </vt:variant>
      <vt:variant>
        <vt:lpwstr/>
      </vt:variant>
      <vt:variant>
        <vt:i4>65602</vt:i4>
      </vt:variant>
      <vt:variant>
        <vt:i4>837</vt:i4>
      </vt:variant>
      <vt:variant>
        <vt:i4>0</vt:i4>
      </vt:variant>
      <vt:variant>
        <vt:i4>5</vt:i4>
      </vt:variant>
      <vt:variant>
        <vt:lpwstr>https://www.qls.com.au/content-collections/checklists/cybersecurity-first-response-checklist</vt:lpwstr>
      </vt:variant>
      <vt:variant>
        <vt:lpwstr/>
      </vt:variant>
      <vt:variant>
        <vt:i4>1048653</vt:i4>
      </vt:variant>
      <vt:variant>
        <vt:i4>834</vt:i4>
      </vt:variant>
      <vt:variant>
        <vt:i4>0</vt:i4>
      </vt:variant>
      <vt:variant>
        <vt:i4>5</vt:i4>
      </vt:variant>
      <vt:variant>
        <vt:lpwstr>https://www.qls.com.au/qls-membership/services-and-benefits/business-services/qls-cyber-essentials-insurance</vt:lpwstr>
      </vt:variant>
      <vt:variant>
        <vt:lpwstr/>
      </vt:variant>
      <vt:variant>
        <vt:i4>0</vt:i4>
      </vt:variant>
      <vt:variant>
        <vt:i4>831</vt:i4>
      </vt:variant>
      <vt:variant>
        <vt:i4>0</vt:i4>
      </vt:variant>
      <vt:variant>
        <vt:i4>5</vt:i4>
      </vt:variant>
      <vt:variant>
        <vt:lpwstr>https://www.oaic.gov.au/privacy/notifiable-data-breaches</vt:lpwstr>
      </vt:variant>
      <vt:variant>
        <vt:lpwstr/>
      </vt:variant>
      <vt:variant>
        <vt:i4>2818171</vt:i4>
      </vt:variant>
      <vt:variant>
        <vt:i4>828</vt:i4>
      </vt:variant>
      <vt:variant>
        <vt:i4>0</vt:i4>
      </vt:variant>
      <vt:variant>
        <vt:i4>5</vt:i4>
      </vt:variant>
      <vt:variant>
        <vt:lpwstr>https://www.qlsproctor.com.au/2025/10/basic-cyber-steps-can-block-most-attacks/</vt:lpwstr>
      </vt:variant>
      <vt:variant>
        <vt:lpwstr/>
      </vt:variant>
      <vt:variant>
        <vt:i4>7864433</vt:i4>
      </vt:variant>
      <vt:variant>
        <vt:i4>825</vt:i4>
      </vt:variant>
      <vt:variant>
        <vt:i4>0</vt:i4>
      </vt:variant>
      <vt:variant>
        <vt:i4>5</vt:i4>
      </vt:variant>
      <vt:variant>
        <vt:lpwstr>https://www.qls.com.au/resource-centre/technology-and-innovation/cybersecurity</vt:lpwstr>
      </vt:variant>
      <vt:variant>
        <vt:lpwstr/>
      </vt:variant>
      <vt:variant>
        <vt:i4>7012478</vt:i4>
      </vt:variant>
      <vt:variant>
        <vt:i4>819</vt:i4>
      </vt:variant>
      <vt:variant>
        <vt:i4>0</vt:i4>
      </vt:variant>
      <vt:variant>
        <vt:i4>5</vt:i4>
      </vt:variant>
      <vt:variant>
        <vt:lpwstr>https://www.qls.com.au/content-collections/guides/document-retention-guide</vt:lpwstr>
      </vt:variant>
      <vt:variant>
        <vt:lpwstr/>
      </vt:variant>
      <vt:variant>
        <vt:i4>8192100</vt:i4>
      </vt:variant>
      <vt:variant>
        <vt:i4>816</vt:i4>
      </vt:variant>
      <vt:variant>
        <vt:i4>0</vt:i4>
      </vt:variant>
      <vt:variant>
        <vt:i4>5</vt:i4>
      </vt:variant>
      <vt:variant>
        <vt:lpwstr>https://dsi.org/smb1001</vt:lpwstr>
      </vt:variant>
      <vt:variant>
        <vt:lpwstr/>
      </vt:variant>
      <vt:variant>
        <vt:i4>8192100</vt:i4>
      </vt:variant>
      <vt:variant>
        <vt:i4>813</vt:i4>
      </vt:variant>
      <vt:variant>
        <vt:i4>0</vt:i4>
      </vt:variant>
      <vt:variant>
        <vt:i4>5</vt:i4>
      </vt:variant>
      <vt:variant>
        <vt:lpwstr>https://dsi.org/smb1001</vt:lpwstr>
      </vt:variant>
      <vt:variant>
        <vt:lpwstr/>
      </vt:variant>
      <vt:variant>
        <vt:i4>1638448</vt:i4>
      </vt:variant>
      <vt:variant>
        <vt:i4>803</vt:i4>
      </vt:variant>
      <vt:variant>
        <vt:i4>0</vt:i4>
      </vt:variant>
      <vt:variant>
        <vt:i4>5</vt:i4>
      </vt:variant>
      <vt:variant>
        <vt:lpwstr/>
      </vt:variant>
      <vt:variant>
        <vt:lpwstr>_Toc220933163</vt:lpwstr>
      </vt:variant>
      <vt:variant>
        <vt:i4>1638448</vt:i4>
      </vt:variant>
      <vt:variant>
        <vt:i4>797</vt:i4>
      </vt:variant>
      <vt:variant>
        <vt:i4>0</vt:i4>
      </vt:variant>
      <vt:variant>
        <vt:i4>5</vt:i4>
      </vt:variant>
      <vt:variant>
        <vt:lpwstr/>
      </vt:variant>
      <vt:variant>
        <vt:lpwstr>_Toc220933162</vt:lpwstr>
      </vt:variant>
      <vt:variant>
        <vt:i4>1638448</vt:i4>
      </vt:variant>
      <vt:variant>
        <vt:i4>791</vt:i4>
      </vt:variant>
      <vt:variant>
        <vt:i4>0</vt:i4>
      </vt:variant>
      <vt:variant>
        <vt:i4>5</vt:i4>
      </vt:variant>
      <vt:variant>
        <vt:lpwstr/>
      </vt:variant>
      <vt:variant>
        <vt:lpwstr>_Toc220933161</vt:lpwstr>
      </vt:variant>
      <vt:variant>
        <vt:i4>1638448</vt:i4>
      </vt:variant>
      <vt:variant>
        <vt:i4>785</vt:i4>
      </vt:variant>
      <vt:variant>
        <vt:i4>0</vt:i4>
      </vt:variant>
      <vt:variant>
        <vt:i4>5</vt:i4>
      </vt:variant>
      <vt:variant>
        <vt:lpwstr/>
      </vt:variant>
      <vt:variant>
        <vt:lpwstr>_Toc220933160</vt:lpwstr>
      </vt:variant>
      <vt:variant>
        <vt:i4>1703984</vt:i4>
      </vt:variant>
      <vt:variant>
        <vt:i4>779</vt:i4>
      </vt:variant>
      <vt:variant>
        <vt:i4>0</vt:i4>
      </vt:variant>
      <vt:variant>
        <vt:i4>5</vt:i4>
      </vt:variant>
      <vt:variant>
        <vt:lpwstr/>
      </vt:variant>
      <vt:variant>
        <vt:lpwstr>_Toc220933159</vt:lpwstr>
      </vt:variant>
      <vt:variant>
        <vt:i4>1703984</vt:i4>
      </vt:variant>
      <vt:variant>
        <vt:i4>773</vt:i4>
      </vt:variant>
      <vt:variant>
        <vt:i4>0</vt:i4>
      </vt:variant>
      <vt:variant>
        <vt:i4>5</vt:i4>
      </vt:variant>
      <vt:variant>
        <vt:lpwstr/>
      </vt:variant>
      <vt:variant>
        <vt:lpwstr>_Toc220933158</vt:lpwstr>
      </vt:variant>
      <vt:variant>
        <vt:i4>1703984</vt:i4>
      </vt:variant>
      <vt:variant>
        <vt:i4>767</vt:i4>
      </vt:variant>
      <vt:variant>
        <vt:i4>0</vt:i4>
      </vt:variant>
      <vt:variant>
        <vt:i4>5</vt:i4>
      </vt:variant>
      <vt:variant>
        <vt:lpwstr/>
      </vt:variant>
      <vt:variant>
        <vt:lpwstr>_Toc220933157</vt:lpwstr>
      </vt:variant>
      <vt:variant>
        <vt:i4>1703984</vt:i4>
      </vt:variant>
      <vt:variant>
        <vt:i4>761</vt:i4>
      </vt:variant>
      <vt:variant>
        <vt:i4>0</vt:i4>
      </vt:variant>
      <vt:variant>
        <vt:i4>5</vt:i4>
      </vt:variant>
      <vt:variant>
        <vt:lpwstr/>
      </vt:variant>
      <vt:variant>
        <vt:lpwstr>_Toc220933156</vt:lpwstr>
      </vt:variant>
      <vt:variant>
        <vt:i4>1703984</vt:i4>
      </vt:variant>
      <vt:variant>
        <vt:i4>755</vt:i4>
      </vt:variant>
      <vt:variant>
        <vt:i4>0</vt:i4>
      </vt:variant>
      <vt:variant>
        <vt:i4>5</vt:i4>
      </vt:variant>
      <vt:variant>
        <vt:lpwstr/>
      </vt:variant>
      <vt:variant>
        <vt:lpwstr>_Toc220933155</vt:lpwstr>
      </vt:variant>
      <vt:variant>
        <vt:i4>1703984</vt:i4>
      </vt:variant>
      <vt:variant>
        <vt:i4>749</vt:i4>
      </vt:variant>
      <vt:variant>
        <vt:i4>0</vt:i4>
      </vt:variant>
      <vt:variant>
        <vt:i4>5</vt:i4>
      </vt:variant>
      <vt:variant>
        <vt:lpwstr/>
      </vt:variant>
      <vt:variant>
        <vt:lpwstr>_Toc220933154</vt:lpwstr>
      </vt:variant>
      <vt:variant>
        <vt:i4>1703984</vt:i4>
      </vt:variant>
      <vt:variant>
        <vt:i4>743</vt:i4>
      </vt:variant>
      <vt:variant>
        <vt:i4>0</vt:i4>
      </vt:variant>
      <vt:variant>
        <vt:i4>5</vt:i4>
      </vt:variant>
      <vt:variant>
        <vt:lpwstr/>
      </vt:variant>
      <vt:variant>
        <vt:lpwstr>_Toc220933153</vt:lpwstr>
      </vt:variant>
      <vt:variant>
        <vt:i4>1703984</vt:i4>
      </vt:variant>
      <vt:variant>
        <vt:i4>737</vt:i4>
      </vt:variant>
      <vt:variant>
        <vt:i4>0</vt:i4>
      </vt:variant>
      <vt:variant>
        <vt:i4>5</vt:i4>
      </vt:variant>
      <vt:variant>
        <vt:lpwstr/>
      </vt:variant>
      <vt:variant>
        <vt:lpwstr>_Toc220933152</vt:lpwstr>
      </vt:variant>
      <vt:variant>
        <vt:i4>1703984</vt:i4>
      </vt:variant>
      <vt:variant>
        <vt:i4>731</vt:i4>
      </vt:variant>
      <vt:variant>
        <vt:i4>0</vt:i4>
      </vt:variant>
      <vt:variant>
        <vt:i4>5</vt:i4>
      </vt:variant>
      <vt:variant>
        <vt:lpwstr/>
      </vt:variant>
      <vt:variant>
        <vt:lpwstr>_Toc220933151</vt:lpwstr>
      </vt:variant>
      <vt:variant>
        <vt:i4>1703984</vt:i4>
      </vt:variant>
      <vt:variant>
        <vt:i4>725</vt:i4>
      </vt:variant>
      <vt:variant>
        <vt:i4>0</vt:i4>
      </vt:variant>
      <vt:variant>
        <vt:i4>5</vt:i4>
      </vt:variant>
      <vt:variant>
        <vt:lpwstr/>
      </vt:variant>
      <vt:variant>
        <vt:lpwstr>_Toc220933150</vt:lpwstr>
      </vt:variant>
      <vt:variant>
        <vt:i4>1769520</vt:i4>
      </vt:variant>
      <vt:variant>
        <vt:i4>719</vt:i4>
      </vt:variant>
      <vt:variant>
        <vt:i4>0</vt:i4>
      </vt:variant>
      <vt:variant>
        <vt:i4>5</vt:i4>
      </vt:variant>
      <vt:variant>
        <vt:lpwstr/>
      </vt:variant>
      <vt:variant>
        <vt:lpwstr>_Toc220933149</vt:lpwstr>
      </vt:variant>
      <vt:variant>
        <vt:i4>1769520</vt:i4>
      </vt:variant>
      <vt:variant>
        <vt:i4>713</vt:i4>
      </vt:variant>
      <vt:variant>
        <vt:i4>0</vt:i4>
      </vt:variant>
      <vt:variant>
        <vt:i4>5</vt:i4>
      </vt:variant>
      <vt:variant>
        <vt:lpwstr/>
      </vt:variant>
      <vt:variant>
        <vt:lpwstr>_Toc220933148</vt:lpwstr>
      </vt:variant>
      <vt:variant>
        <vt:i4>1769520</vt:i4>
      </vt:variant>
      <vt:variant>
        <vt:i4>707</vt:i4>
      </vt:variant>
      <vt:variant>
        <vt:i4>0</vt:i4>
      </vt:variant>
      <vt:variant>
        <vt:i4>5</vt:i4>
      </vt:variant>
      <vt:variant>
        <vt:lpwstr/>
      </vt:variant>
      <vt:variant>
        <vt:lpwstr>_Toc220933147</vt:lpwstr>
      </vt:variant>
      <vt:variant>
        <vt:i4>1769520</vt:i4>
      </vt:variant>
      <vt:variant>
        <vt:i4>701</vt:i4>
      </vt:variant>
      <vt:variant>
        <vt:i4>0</vt:i4>
      </vt:variant>
      <vt:variant>
        <vt:i4>5</vt:i4>
      </vt:variant>
      <vt:variant>
        <vt:lpwstr/>
      </vt:variant>
      <vt:variant>
        <vt:lpwstr>_Toc220933146</vt:lpwstr>
      </vt:variant>
      <vt:variant>
        <vt:i4>1769520</vt:i4>
      </vt:variant>
      <vt:variant>
        <vt:i4>695</vt:i4>
      </vt:variant>
      <vt:variant>
        <vt:i4>0</vt:i4>
      </vt:variant>
      <vt:variant>
        <vt:i4>5</vt:i4>
      </vt:variant>
      <vt:variant>
        <vt:lpwstr/>
      </vt:variant>
      <vt:variant>
        <vt:lpwstr>_Toc220933145</vt:lpwstr>
      </vt:variant>
      <vt:variant>
        <vt:i4>1769520</vt:i4>
      </vt:variant>
      <vt:variant>
        <vt:i4>689</vt:i4>
      </vt:variant>
      <vt:variant>
        <vt:i4>0</vt:i4>
      </vt:variant>
      <vt:variant>
        <vt:i4>5</vt:i4>
      </vt:variant>
      <vt:variant>
        <vt:lpwstr/>
      </vt:variant>
      <vt:variant>
        <vt:lpwstr>_Toc220933144</vt:lpwstr>
      </vt:variant>
      <vt:variant>
        <vt:i4>1769520</vt:i4>
      </vt:variant>
      <vt:variant>
        <vt:i4>683</vt:i4>
      </vt:variant>
      <vt:variant>
        <vt:i4>0</vt:i4>
      </vt:variant>
      <vt:variant>
        <vt:i4>5</vt:i4>
      </vt:variant>
      <vt:variant>
        <vt:lpwstr/>
      </vt:variant>
      <vt:variant>
        <vt:lpwstr>_Toc220933143</vt:lpwstr>
      </vt:variant>
      <vt:variant>
        <vt:i4>1769520</vt:i4>
      </vt:variant>
      <vt:variant>
        <vt:i4>677</vt:i4>
      </vt:variant>
      <vt:variant>
        <vt:i4>0</vt:i4>
      </vt:variant>
      <vt:variant>
        <vt:i4>5</vt:i4>
      </vt:variant>
      <vt:variant>
        <vt:lpwstr/>
      </vt:variant>
      <vt:variant>
        <vt:lpwstr>_Toc220933142</vt:lpwstr>
      </vt:variant>
      <vt:variant>
        <vt:i4>1769520</vt:i4>
      </vt:variant>
      <vt:variant>
        <vt:i4>671</vt:i4>
      </vt:variant>
      <vt:variant>
        <vt:i4>0</vt:i4>
      </vt:variant>
      <vt:variant>
        <vt:i4>5</vt:i4>
      </vt:variant>
      <vt:variant>
        <vt:lpwstr/>
      </vt:variant>
      <vt:variant>
        <vt:lpwstr>_Toc220933141</vt:lpwstr>
      </vt:variant>
      <vt:variant>
        <vt:i4>1769520</vt:i4>
      </vt:variant>
      <vt:variant>
        <vt:i4>665</vt:i4>
      </vt:variant>
      <vt:variant>
        <vt:i4>0</vt:i4>
      </vt:variant>
      <vt:variant>
        <vt:i4>5</vt:i4>
      </vt:variant>
      <vt:variant>
        <vt:lpwstr/>
      </vt:variant>
      <vt:variant>
        <vt:lpwstr>_Toc220933140</vt:lpwstr>
      </vt:variant>
      <vt:variant>
        <vt:i4>1835056</vt:i4>
      </vt:variant>
      <vt:variant>
        <vt:i4>659</vt:i4>
      </vt:variant>
      <vt:variant>
        <vt:i4>0</vt:i4>
      </vt:variant>
      <vt:variant>
        <vt:i4>5</vt:i4>
      </vt:variant>
      <vt:variant>
        <vt:lpwstr/>
      </vt:variant>
      <vt:variant>
        <vt:lpwstr>_Toc220933139</vt:lpwstr>
      </vt:variant>
      <vt:variant>
        <vt:i4>1835056</vt:i4>
      </vt:variant>
      <vt:variant>
        <vt:i4>653</vt:i4>
      </vt:variant>
      <vt:variant>
        <vt:i4>0</vt:i4>
      </vt:variant>
      <vt:variant>
        <vt:i4>5</vt:i4>
      </vt:variant>
      <vt:variant>
        <vt:lpwstr/>
      </vt:variant>
      <vt:variant>
        <vt:lpwstr>_Toc220933138</vt:lpwstr>
      </vt:variant>
      <vt:variant>
        <vt:i4>1835056</vt:i4>
      </vt:variant>
      <vt:variant>
        <vt:i4>647</vt:i4>
      </vt:variant>
      <vt:variant>
        <vt:i4>0</vt:i4>
      </vt:variant>
      <vt:variant>
        <vt:i4>5</vt:i4>
      </vt:variant>
      <vt:variant>
        <vt:lpwstr/>
      </vt:variant>
      <vt:variant>
        <vt:lpwstr>_Toc220933137</vt:lpwstr>
      </vt:variant>
      <vt:variant>
        <vt:i4>1835056</vt:i4>
      </vt:variant>
      <vt:variant>
        <vt:i4>641</vt:i4>
      </vt:variant>
      <vt:variant>
        <vt:i4>0</vt:i4>
      </vt:variant>
      <vt:variant>
        <vt:i4>5</vt:i4>
      </vt:variant>
      <vt:variant>
        <vt:lpwstr/>
      </vt:variant>
      <vt:variant>
        <vt:lpwstr>_Toc220933136</vt:lpwstr>
      </vt:variant>
      <vt:variant>
        <vt:i4>1835056</vt:i4>
      </vt:variant>
      <vt:variant>
        <vt:i4>635</vt:i4>
      </vt:variant>
      <vt:variant>
        <vt:i4>0</vt:i4>
      </vt:variant>
      <vt:variant>
        <vt:i4>5</vt:i4>
      </vt:variant>
      <vt:variant>
        <vt:lpwstr/>
      </vt:variant>
      <vt:variant>
        <vt:lpwstr>_Toc220933135</vt:lpwstr>
      </vt:variant>
      <vt:variant>
        <vt:i4>1835056</vt:i4>
      </vt:variant>
      <vt:variant>
        <vt:i4>629</vt:i4>
      </vt:variant>
      <vt:variant>
        <vt:i4>0</vt:i4>
      </vt:variant>
      <vt:variant>
        <vt:i4>5</vt:i4>
      </vt:variant>
      <vt:variant>
        <vt:lpwstr/>
      </vt:variant>
      <vt:variant>
        <vt:lpwstr>_Toc220933134</vt:lpwstr>
      </vt:variant>
      <vt:variant>
        <vt:i4>1835056</vt:i4>
      </vt:variant>
      <vt:variant>
        <vt:i4>623</vt:i4>
      </vt:variant>
      <vt:variant>
        <vt:i4>0</vt:i4>
      </vt:variant>
      <vt:variant>
        <vt:i4>5</vt:i4>
      </vt:variant>
      <vt:variant>
        <vt:lpwstr/>
      </vt:variant>
      <vt:variant>
        <vt:lpwstr>_Toc220933133</vt:lpwstr>
      </vt:variant>
      <vt:variant>
        <vt:i4>1835056</vt:i4>
      </vt:variant>
      <vt:variant>
        <vt:i4>617</vt:i4>
      </vt:variant>
      <vt:variant>
        <vt:i4>0</vt:i4>
      </vt:variant>
      <vt:variant>
        <vt:i4>5</vt:i4>
      </vt:variant>
      <vt:variant>
        <vt:lpwstr/>
      </vt:variant>
      <vt:variant>
        <vt:lpwstr>_Toc220933132</vt:lpwstr>
      </vt:variant>
      <vt:variant>
        <vt:i4>1835056</vt:i4>
      </vt:variant>
      <vt:variant>
        <vt:i4>611</vt:i4>
      </vt:variant>
      <vt:variant>
        <vt:i4>0</vt:i4>
      </vt:variant>
      <vt:variant>
        <vt:i4>5</vt:i4>
      </vt:variant>
      <vt:variant>
        <vt:lpwstr/>
      </vt:variant>
      <vt:variant>
        <vt:lpwstr>_Toc220933131</vt:lpwstr>
      </vt:variant>
      <vt:variant>
        <vt:i4>1835056</vt:i4>
      </vt:variant>
      <vt:variant>
        <vt:i4>605</vt:i4>
      </vt:variant>
      <vt:variant>
        <vt:i4>0</vt:i4>
      </vt:variant>
      <vt:variant>
        <vt:i4>5</vt:i4>
      </vt:variant>
      <vt:variant>
        <vt:lpwstr/>
      </vt:variant>
      <vt:variant>
        <vt:lpwstr>_Toc220933130</vt:lpwstr>
      </vt:variant>
      <vt:variant>
        <vt:i4>1900592</vt:i4>
      </vt:variant>
      <vt:variant>
        <vt:i4>599</vt:i4>
      </vt:variant>
      <vt:variant>
        <vt:i4>0</vt:i4>
      </vt:variant>
      <vt:variant>
        <vt:i4>5</vt:i4>
      </vt:variant>
      <vt:variant>
        <vt:lpwstr/>
      </vt:variant>
      <vt:variant>
        <vt:lpwstr>_Toc220933129</vt:lpwstr>
      </vt:variant>
      <vt:variant>
        <vt:i4>1900592</vt:i4>
      </vt:variant>
      <vt:variant>
        <vt:i4>593</vt:i4>
      </vt:variant>
      <vt:variant>
        <vt:i4>0</vt:i4>
      </vt:variant>
      <vt:variant>
        <vt:i4>5</vt:i4>
      </vt:variant>
      <vt:variant>
        <vt:lpwstr/>
      </vt:variant>
      <vt:variant>
        <vt:lpwstr>_Toc220933128</vt:lpwstr>
      </vt:variant>
      <vt:variant>
        <vt:i4>1900592</vt:i4>
      </vt:variant>
      <vt:variant>
        <vt:i4>587</vt:i4>
      </vt:variant>
      <vt:variant>
        <vt:i4>0</vt:i4>
      </vt:variant>
      <vt:variant>
        <vt:i4>5</vt:i4>
      </vt:variant>
      <vt:variant>
        <vt:lpwstr/>
      </vt:variant>
      <vt:variant>
        <vt:lpwstr>_Toc220933127</vt:lpwstr>
      </vt:variant>
      <vt:variant>
        <vt:i4>1900592</vt:i4>
      </vt:variant>
      <vt:variant>
        <vt:i4>581</vt:i4>
      </vt:variant>
      <vt:variant>
        <vt:i4>0</vt:i4>
      </vt:variant>
      <vt:variant>
        <vt:i4>5</vt:i4>
      </vt:variant>
      <vt:variant>
        <vt:lpwstr/>
      </vt:variant>
      <vt:variant>
        <vt:lpwstr>_Toc220933126</vt:lpwstr>
      </vt:variant>
      <vt:variant>
        <vt:i4>1900592</vt:i4>
      </vt:variant>
      <vt:variant>
        <vt:i4>575</vt:i4>
      </vt:variant>
      <vt:variant>
        <vt:i4>0</vt:i4>
      </vt:variant>
      <vt:variant>
        <vt:i4>5</vt:i4>
      </vt:variant>
      <vt:variant>
        <vt:lpwstr/>
      </vt:variant>
      <vt:variant>
        <vt:lpwstr>_Toc220933125</vt:lpwstr>
      </vt:variant>
      <vt:variant>
        <vt:i4>1900592</vt:i4>
      </vt:variant>
      <vt:variant>
        <vt:i4>569</vt:i4>
      </vt:variant>
      <vt:variant>
        <vt:i4>0</vt:i4>
      </vt:variant>
      <vt:variant>
        <vt:i4>5</vt:i4>
      </vt:variant>
      <vt:variant>
        <vt:lpwstr/>
      </vt:variant>
      <vt:variant>
        <vt:lpwstr>_Toc220933124</vt:lpwstr>
      </vt:variant>
      <vt:variant>
        <vt:i4>1900592</vt:i4>
      </vt:variant>
      <vt:variant>
        <vt:i4>563</vt:i4>
      </vt:variant>
      <vt:variant>
        <vt:i4>0</vt:i4>
      </vt:variant>
      <vt:variant>
        <vt:i4>5</vt:i4>
      </vt:variant>
      <vt:variant>
        <vt:lpwstr/>
      </vt:variant>
      <vt:variant>
        <vt:lpwstr>_Toc220933123</vt:lpwstr>
      </vt:variant>
      <vt:variant>
        <vt:i4>1900592</vt:i4>
      </vt:variant>
      <vt:variant>
        <vt:i4>557</vt:i4>
      </vt:variant>
      <vt:variant>
        <vt:i4>0</vt:i4>
      </vt:variant>
      <vt:variant>
        <vt:i4>5</vt:i4>
      </vt:variant>
      <vt:variant>
        <vt:lpwstr/>
      </vt:variant>
      <vt:variant>
        <vt:lpwstr>_Toc220933122</vt:lpwstr>
      </vt:variant>
      <vt:variant>
        <vt:i4>1900592</vt:i4>
      </vt:variant>
      <vt:variant>
        <vt:i4>551</vt:i4>
      </vt:variant>
      <vt:variant>
        <vt:i4>0</vt:i4>
      </vt:variant>
      <vt:variant>
        <vt:i4>5</vt:i4>
      </vt:variant>
      <vt:variant>
        <vt:lpwstr/>
      </vt:variant>
      <vt:variant>
        <vt:lpwstr>_Toc220933121</vt:lpwstr>
      </vt:variant>
      <vt:variant>
        <vt:i4>1900592</vt:i4>
      </vt:variant>
      <vt:variant>
        <vt:i4>545</vt:i4>
      </vt:variant>
      <vt:variant>
        <vt:i4>0</vt:i4>
      </vt:variant>
      <vt:variant>
        <vt:i4>5</vt:i4>
      </vt:variant>
      <vt:variant>
        <vt:lpwstr/>
      </vt:variant>
      <vt:variant>
        <vt:lpwstr>_Toc220933120</vt:lpwstr>
      </vt:variant>
      <vt:variant>
        <vt:i4>1966128</vt:i4>
      </vt:variant>
      <vt:variant>
        <vt:i4>539</vt:i4>
      </vt:variant>
      <vt:variant>
        <vt:i4>0</vt:i4>
      </vt:variant>
      <vt:variant>
        <vt:i4>5</vt:i4>
      </vt:variant>
      <vt:variant>
        <vt:lpwstr/>
      </vt:variant>
      <vt:variant>
        <vt:lpwstr>_Toc220933119</vt:lpwstr>
      </vt:variant>
      <vt:variant>
        <vt:i4>1966128</vt:i4>
      </vt:variant>
      <vt:variant>
        <vt:i4>533</vt:i4>
      </vt:variant>
      <vt:variant>
        <vt:i4>0</vt:i4>
      </vt:variant>
      <vt:variant>
        <vt:i4>5</vt:i4>
      </vt:variant>
      <vt:variant>
        <vt:lpwstr/>
      </vt:variant>
      <vt:variant>
        <vt:lpwstr>_Toc220933118</vt:lpwstr>
      </vt:variant>
      <vt:variant>
        <vt:i4>1966128</vt:i4>
      </vt:variant>
      <vt:variant>
        <vt:i4>527</vt:i4>
      </vt:variant>
      <vt:variant>
        <vt:i4>0</vt:i4>
      </vt:variant>
      <vt:variant>
        <vt:i4>5</vt:i4>
      </vt:variant>
      <vt:variant>
        <vt:lpwstr/>
      </vt:variant>
      <vt:variant>
        <vt:lpwstr>_Toc220933117</vt:lpwstr>
      </vt:variant>
      <vt:variant>
        <vt:i4>1966128</vt:i4>
      </vt:variant>
      <vt:variant>
        <vt:i4>521</vt:i4>
      </vt:variant>
      <vt:variant>
        <vt:i4>0</vt:i4>
      </vt:variant>
      <vt:variant>
        <vt:i4>5</vt:i4>
      </vt:variant>
      <vt:variant>
        <vt:lpwstr/>
      </vt:variant>
      <vt:variant>
        <vt:lpwstr>_Toc220933116</vt:lpwstr>
      </vt:variant>
      <vt:variant>
        <vt:i4>1966128</vt:i4>
      </vt:variant>
      <vt:variant>
        <vt:i4>515</vt:i4>
      </vt:variant>
      <vt:variant>
        <vt:i4>0</vt:i4>
      </vt:variant>
      <vt:variant>
        <vt:i4>5</vt:i4>
      </vt:variant>
      <vt:variant>
        <vt:lpwstr/>
      </vt:variant>
      <vt:variant>
        <vt:lpwstr>_Toc220933115</vt:lpwstr>
      </vt:variant>
      <vt:variant>
        <vt:i4>1966128</vt:i4>
      </vt:variant>
      <vt:variant>
        <vt:i4>509</vt:i4>
      </vt:variant>
      <vt:variant>
        <vt:i4>0</vt:i4>
      </vt:variant>
      <vt:variant>
        <vt:i4>5</vt:i4>
      </vt:variant>
      <vt:variant>
        <vt:lpwstr/>
      </vt:variant>
      <vt:variant>
        <vt:lpwstr>_Toc220933114</vt:lpwstr>
      </vt:variant>
      <vt:variant>
        <vt:i4>1966128</vt:i4>
      </vt:variant>
      <vt:variant>
        <vt:i4>503</vt:i4>
      </vt:variant>
      <vt:variant>
        <vt:i4>0</vt:i4>
      </vt:variant>
      <vt:variant>
        <vt:i4>5</vt:i4>
      </vt:variant>
      <vt:variant>
        <vt:lpwstr/>
      </vt:variant>
      <vt:variant>
        <vt:lpwstr>_Toc220933113</vt:lpwstr>
      </vt:variant>
      <vt:variant>
        <vt:i4>1966128</vt:i4>
      </vt:variant>
      <vt:variant>
        <vt:i4>497</vt:i4>
      </vt:variant>
      <vt:variant>
        <vt:i4>0</vt:i4>
      </vt:variant>
      <vt:variant>
        <vt:i4>5</vt:i4>
      </vt:variant>
      <vt:variant>
        <vt:lpwstr/>
      </vt:variant>
      <vt:variant>
        <vt:lpwstr>_Toc220933112</vt:lpwstr>
      </vt:variant>
      <vt:variant>
        <vt:i4>1966128</vt:i4>
      </vt:variant>
      <vt:variant>
        <vt:i4>491</vt:i4>
      </vt:variant>
      <vt:variant>
        <vt:i4>0</vt:i4>
      </vt:variant>
      <vt:variant>
        <vt:i4>5</vt:i4>
      </vt:variant>
      <vt:variant>
        <vt:lpwstr/>
      </vt:variant>
      <vt:variant>
        <vt:lpwstr>_Toc220933111</vt:lpwstr>
      </vt:variant>
      <vt:variant>
        <vt:i4>1966128</vt:i4>
      </vt:variant>
      <vt:variant>
        <vt:i4>485</vt:i4>
      </vt:variant>
      <vt:variant>
        <vt:i4>0</vt:i4>
      </vt:variant>
      <vt:variant>
        <vt:i4>5</vt:i4>
      </vt:variant>
      <vt:variant>
        <vt:lpwstr/>
      </vt:variant>
      <vt:variant>
        <vt:lpwstr>_Toc220933110</vt:lpwstr>
      </vt:variant>
      <vt:variant>
        <vt:i4>2031664</vt:i4>
      </vt:variant>
      <vt:variant>
        <vt:i4>479</vt:i4>
      </vt:variant>
      <vt:variant>
        <vt:i4>0</vt:i4>
      </vt:variant>
      <vt:variant>
        <vt:i4>5</vt:i4>
      </vt:variant>
      <vt:variant>
        <vt:lpwstr/>
      </vt:variant>
      <vt:variant>
        <vt:lpwstr>_Toc220933109</vt:lpwstr>
      </vt:variant>
      <vt:variant>
        <vt:i4>2031664</vt:i4>
      </vt:variant>
      <vt:variant>
        <vt:i4>473</vt:i4>
      </vt:variant>
      <vt:variant>
        <vt:i4>0</vt:i4>
      </vt:variant>
      <vt:variant>
        <vt:i4>5</vt:i4>
      </vt:variant>
      <vt:variant>
        <vt:lpwstr/>
      </vt:variant>
      <vt:variant>
        <vt:lpwstr>_Toc220933108</vt:lpwstr>
      </vt:variant>
      <vt:variant>
        <vt:i4>2031664</vt:i4>
      </vt:variant>
      <vt:variant>
        <vt:i4>467</vt:i4>
      </vt:variant>
      <vt:variant>
        <vt:i4>0</vt:i4>
      </vt:variant>
      <vt:variant>
        <vt:i4>5</vt:i4>
      </vt:variant>
      <vt:variant>
        <vt:lpwstr/>
      </vt:variant>
      <vt:variant>
        <vt:lpwstr>_Toc220933107</vt:lpwstr>
      </vt:variant>
      <vt:variant>
        <vt:i4>2031664</vt:i4>
      </vt:variant>
      <vt:variant>
        <vt:i4>461</vt:i4>
      </vt:variant>
      <vt:variant>
        <vt:i4>0</vt:i4>
      </vt:variant>
      <vt:variant>
        <vt:i4>5</vt:i4>
      </vt:variant>
      <vt:variant>
        <vt:lpwstr/>
      </vt:variant>
      <vt:variant>
        <vt:lpwstr>_Toc220933106</vt:lpwstr>
      </vt:variant>
      <vt:variant>
        <vt:i4>2031664</vt:i4>
      </vt:variant>
      <vt:variant>
        <vt:i4>455</vt:i4>
      </vt:variant>
      <vt:variant>
        <vt:i4>0</vt:i4>
      </vt:variant>
      <vt:variant>
        <vt:i4>5</vt:i4>
      </vt:variant>
      <vt:variant>
        <vt:lpwstr/>
      </vt:variant>
      <vt:variant>
        <vt:lpwstr>_Toc220933105</vt:lpwstr>
      </vt:variant>
      <vt:variant>
        <vt:i4>2031664</vt:i4>
      </vt:variant>
      <vt:variant>
        <vt:i4>449</vt:i4>
      </vt:variant>
      <vt:variant>
        <vt:i4>0</vt:i4>
      </vt:variant>
      <vt:variant>
        <vt:i4>5</vt:i4>
      </vt:variant>
      <vt:variant>
        <vt:lpwstr/>
      </vt:variant>
      <vt:variant>
        <vt:lpwstr>_Toc220933104</vt:lpwstr>
      </vt:variant>
      <vt:variant>
        <vt:i4>2031664</vt:i4>
      </vt:variant>
      <vt:variant>
        <vt:i4>443</vt:i4>
      </vt:variant>
      <vt:variant>
        <vt:i4>0</vt:i4>
      </vt:variant>
      <vt:variant>
        <vt:i4>5</vt:i4>
      </vt:variant>
      <vt:variant>
        <vt:lpwstr/>
      </vt:variant>
      <vt:variant>
        <vt:lpwstr>_Toc220933103</vt:lpwstr>
      </vt:variant>
      <vt:variant>
        <vt:i4>2031664</vt:i4>
      </vt:variant>
      <vt:variant>
        <vt:i4>437</vt:i4>
      </vt:variant>
      <vt:variant>
        <vt:i4>0</vt:i4>
      </vt:variant>
      <vt:variant>
        <vt:i4>5</vt:i4>
      </vt:variant>
      <vt:variant>
        <vt:lpwstr/>
      </vt:variant>
      <vt:variant>
        <vt:lpwstr>_Toc220933102</vt:lpwstr>
      </vt:variant>
      <vt:variant>
        <vt:i4>2031664</vt:i4>
      </vt:variant>
      <vt:variant>
        <vt:i4>431</vt:i4>
      </vt:variant>
      <vt:variant>
        <vt:i4>0</vt:i4>
      </vt:variant>
      <vt:variant>
        <vt:i4>5</vt:i4>
      </vt:variant>
      <vt:variant>
        <vt:lpwstr/>
      </vt:variant>
      <vt:variant>
        <vt:lpwstr>_Toc220933101</vt:lpwstr>
      </vt:variant>
      <vt:variant>
        <vt:i4>2031664</vt:i4>
      </vt:variant>
      <vt:variant>
        <vt:i4>425</vt:i4>
      </vt:variant>
      <vt:variant>
        <vt:i4>0</vt:i4>
      </vt:variant>
      <vt:variant>
        <vt:i4>5</vt:i4>
      </vt:variant>
      <vt:variant>
        <vt:lpwstr/>
      </vt:variant>
      <vt:variant>
        <vt:lpwstr>_Toc220933100</vt:lpwstr>
      </vt:variant>
      <vt:variant>
        <vt:i4>1441841</vt:i4>
      </vt:variant>
      <vt:variant>
        <vt:i4>419</vt:i4>
      </vt:variant>
      <vt:variant>
        <vt:i4>0</vt:i4>
      </vt:variant>
      <vt:variant>
        <vt:i4>5</vt:i4>
      </vt:variant>
      <vt:variant>
        <vt:lpwstr/>
      </vt:variant>
      <vt:variant>
        <vt:lpwstr>_Toc220933099</vt:lpwstr>
      </vt:variant>
      <vt:variant>
        <vt:i4>1441841</vt:i4>
      </vt:variant>
      <vt:variant>
        <vt:i4>413</vt:i4>
      </vt:variant>
      <vt:variant>
        <vt:i4>0</vt:i4>
      </vt:variant>
      <vt:variant>
        <vt:i4>5</vt:i4>
      </vt:variant>
      <vt:variant>
        <vt:lpwstr/>
      </vt:variant>
      <vt:variant>
        <vt:lpwstr>_Toc220933098</vt:lpwstr>
      </vt:variant>
      <vt:variant>
        <vt:i4>1441841</vt:i4>
      </vt:variant>
      <vt:variant>
        <vt:i4>407</vt:i4>
      </vt:variant>
      <vt:variant>
        <vt:i4>0</vt:i4>
      </vt:variant>
      <vt:variant>
        <vt:i4>5</vt:i4>
      </vt:variant>
      <vt:variant>
        <vt:lpwstr/>
      </vt:variant>
      <vt:variant>
        <vt:lpwstr>_Toc220933097</vt:lpwstr>
      </vt:variant>
      <vt:variant>
        <vt:i4>1441841</vt:i4>
      </vt:variant>
      <vt:variant>
        <vt:i4>401</vt:i4>
      </vt:variant>
      <vt:variant>
        <vt:i4>0</vt:i4>
      </vt:variant>
      <vt:variant>
        <vt:i4>5</vt:i4>
      </vt:variant>
      <vt:variant>
        <vt:lpwstr/>
      </vt:variant>
      <vt:variant>
        <vt:lpwstr>_Toc220933096</vt:lpwstr>
      </vt:variant>
      <vt:variant>
        <vt:i4>1441841</vt:i4>
      </vt:variant>
      <vt:variant>
        <vt:i4>395</vt:i4>
      </vt:variant>
      <vt:variant>
        <vt:i4>0</vt:i4>
      </vt:variant>
      <vt:variant>
        <vt:i4>5</vt:i4>
      </vt:variant>
      <vt:variant>
        <vt:lpwstr/>
      </vt:variant>
      <vt:variant>
        <vt:lpwstr>_Toc220933095</vt:lpwstr>
      </vt:variant>
      <vt:variant>
        <vt:i4>1441841</vt:i4>
      </vt:variant>
      <vt:variant>
        <vt:i4>389</vt:i4>
      </vt:variant>
      <vt:variant>
        <vt:i4>0</vt:i4>
      </vt:variant>
      <vt:variant>
        <vt:i4>5</vt:i4>
      </vt:variant>
      <vt:variant>
        <vt:lpwstr/>
      </vt:variant>
      <vt:variant>
        <vt:lpwstr>_Toc220933094</vt:lpwstr>
      </vt:variant>
      <vt:variant>
        <vt:i4>1441841</vt:i4>
      </vt:variant>
      <vt:variant>
        <vt:i4>383</vt:i4>
      </vt:variant>
      <vt:variant>
        <vt:i4>0</vt:i4>
      </vt:variant>
      <vt:variant>
        <vt:i4>5</vt:i4>
      </vt:variant>
      <vt:variant>
        <vt:lpwstr/>
      </vt:variant>
      <vt:variant>
        <vt:lpwstr>_Toc220933093</vt:lpwstr>
      </vt:variant>
      <vt:variant>
        <vt:i4>1441841</vt:i4>
      </vt:variant>
      <vt:variant>
        <vt:i4>377</vt:i4>
      </vt:variant>
      <vt:variant>
        <vt:i4>0</vt:i4>
      </vt:variant>
      <vt:variant>
        <vt:i4>5</vt:i4>
      </vt:variant>
      <vt:variant>
        <vt:lpwstr/>
      </vt:variant>
      <vt:variant>
        <vt:lpwstr>_Toc220933092</vt:lpwstr>
      </vt:variant>
      <vt:variant>
        <vt:i4>1441841</vt:i4>
      </vt:variant>
      <vt:variant>
        <vt:i4>371</vt:i4>
      </vt:variant>
      <vt:variant>
        <vt:i4>0</vt:i4>
      </vt:variant>
      <vt:variant>
        <vt:i4>5</vt:i4>
      </vt:variant>
      <vt:variant>
        <vt:lpwstr/>
      </vt:variant>
      <vt:variant>
        <vt:lpwstr>_Toc220933091</vt:lpwstr>
      </vt:variant>
      <vt:variant>
        <vt:i4>1441841</vt:i4>
      </vt:variant>
      <vt:variant>
        <vt:i4>365</vt:i4>
      </vt:variant>
      <vt:variant>
        <vt:i4>0</vt:i4>
      </vt:variant>
      <vt:variant>
        <vt:i4>5</vt:i4>
      </vt:variant>
      <vt:variant>
        <vt:lpwstr/>
      </vt:variant>
      <vt:variant>
        <vt:lpwstr>_Toc220933090</vt:lpwstr>
      </vt:variant>
      <vt:variant>
        <vt:i4>1507377</vt:i4>
      </vt:variant>
      <vt:variant>
        <vt:i4>359</vt:i4>
      </vt:variant>
      <vt:variant>
        <vt:i4>0</vt:i4>
      </vt:variant>
      <vt:variant>
        <vt:i4>5</vt:i4>
      </vt:variant>
      <vt:variant>
        <vt:lpwstr/>
      </vt:variant>
      <vt:variant>
        <vt:lpwstr>_Toc220933089</vt:lpwstr>
      </vt:variant>
      <vt:variant>
        <vt:i4>1507377</vt:i4>
      </vt:variant>
      <vt:variant>
        <vt:i4>353</vt:i4>
      </vt:variant>
      <vt:variant>
        <vt:i4>0</vt:i4>
      </vt:variant>
      <vt:variant>
        <vt:i4>5</vt:i4>
      </vt:variant>
      <vt:variant>
        <vt:lpwstr/>
      </vt:variant>
      <vt:variant>
        <vt:lpwstr>_Toc220933088</vt:lpwstr>
      </vt:variant>
      <vt:variant>
        <vt:i4>1507377</vt:i4>
      </vt:variant>
      <vt:variant>
        <vt:i4>347</vt:i4>
      </vt:variant>
      <vt:variant>
        <vt:i4>0</vt:i4>
      </vt:variant>
      <vt:variant>
        <vt:i4>5</vt:i4>
      </vt:variant>
      <vt:variant>
        <vt:lpwstr/>
      </vt:variant>
      <vt:variant>
        <vt:lpwstr>_Toc220933087</vt:lpwstr>
      </vt:variant>
      <vt:variant>
        <vt:i4>1507377</vt:i4>
      </vt:variant>
      <vt:variant>
        <vt:i4>341</vt:i4>
      </vt:variant>
      <vt:variant>
        <vt:i4>0</vt:i4>
      </vt:variant>
      <vt:variant>
        <vt:i4>5</vt:i4>
      </vt:variant>
      <vt:variant>
        <vt:lpwstr/>
      </vt:variant>
      <vt:variant>
        <vt:lpwstr>_Toc220933086</vt:lpwstr>
      </vt:variant>
      <vt:variant>
        <vt:i4>1507377</vt:i4>
      </vt:variant>
      <vt:variant>
        <vt:i4>335</vt:i4>
      </vt:variant>
      <vt:variant>
        <vt:i4>0</vt:i4>
      </vt:variant>
      <vt:variant>
        <vt:i4>5</vt:i4>
      </vt:variant>
      <vt:variant>
        <vt:lpwstr/>
      </vt:variant>
      <vt:variant>
        <vt:lpwstr>_Toc220933085</vt:lpwstr>
      </vt:variant>
      <vt:variant>
        <vt:i4>1507377</vt:i4>
      </vt:variant>
      <vt:variant>
        <vt:i4>329</vt:i4>
      </vt:variant>
      <vt:variant>
        <vt:i4>0</vt:i4>
      </vt:variant>
      <vt:variant>
        <vt:i4>5</vt:i4>
      </vt:variant>
      <vt:variant>
        <vt:lpwstr/>
      </vt:variant>
      <vt:variant>
        <vt:lpwstr>_Toc220933084</vt:lpwstr>
      </vt:variant>
      <vt:variant>
        <vt:i4>1507377</vt:i4>
      </vt:variant>
      <vt:variant>
        <vt:i4>323</vt:i4>
      </vt:variant>
      <vt:variant>
        <vt:i4>0</vt:i4>
      </vt:variant>
      <vt:variant>
        <vt:i4>5</vt:i4>
      </vt:variant>
      <vt:variant>
        <vt:lpwstr/>
      </vt:variant>
      <vt:variant>
        <vt:lpwstr>_Toc220933083</vt:lpwstr>
      </vt:variant>
      <vt:variant>
        <vt:i4>1507377</vt:i4>
      </vt:variant>
      <vt:variant>
        <vt:i4>317</vt:i4>
      </vt:variant>
      <vt:variant>
        <vt:i4>0</vt:i4>
      </vt:variant>
      <vt:variant>
        <vt:i4>5</vt:i4>
      </vt:variant>
      <vt:variant>
        <vt:lpwstr/>
      </vt:variant>
      <vt:variant>
        <vt:lpwstr>_Toc220933082</vt:lpwstr>
      </vt:variant>
      <vt:variant>
        <vt:i4>1507377</vt:i4>
      </vt:variant>
      <vt:variant>
        <vt:i4>311</vt:i4>
      </vt:variant>
      <vt:variant>
        <vt:i4>0</vt:i4>
      </vt:variant>
      <vt:variant>
        <vt:i4>5</vt:i4>
      </vt:variant>
      <vt:variant>
        <vt:lpwstr/>
      </vt:variant>
      <vt:variant>
        <vt:lpwstr>_Toc220933081</vt:lpwstr>
      </vt:variant>
      <vt:variant>
        <vt:i4>1507377</vt:i4>
      </vt:variant>
      <vt:variant>
        <vt:i4>305</vt:i4>
      </vt:variant>
      <vt:variant>
        <vt:i4>0</vt:i4>
      </vt:variant>
      <vt:variant>
        <vt:i4>5</vt:i4>
      </vt:variant>
      <vt:variant>
        <vt:lpwstr/>
      </vt:variant>
      <vt:variant>
        <vt:lpwstr>_Toc220933080</vt:lpwstr>
      </vt:variant>
      <vt:variant>
        <vt:i4>1572913</vt:i4>
      </vt:variant>
      <vt:variant>
        <vt:i4>299</vt:i4>
      </vt:variant>
      <vt:variant>
        <vt:i4>0</vt:i4>
      </vt:variant>
      <vt:variant>
        <vt:i4>5</vt:i4>
      </vt:variant>
      <vt:variant>
        <vt:lpwstr/>
      </vt:variant>
      <vt:variant>
        <vt:lpwstr>_Toc220933079</vt:lpwstr>
      </vt:variant>
      <vt:variant>
        <vt:i4>1572913</vt:i4>
      </vt:variant>
      <vt:variant>
        <vt:i4>293</vt:i4>
      </vt:variant>
      <vt:variant>
        <vt:i4>0</vt:i4>
      </vt:variant>
      <vt:variant>
        <vt:i4>5</vt:i4>
      </vt:variant>
      <vt:variant>
        <vt:lpwstr/>
      </vt:variant>
      <vt:variant>
        <vt:lpwstr>_Toc220933078</vt:lpwstr>
      </vt:variant>
      <vt:variant>
        <vt:i4>1572913</vt:i4>
      </vt:variant>
      <vt:variant>
        <vt:i4>287</vt:i4>
      </vt:variant>
      <vt:variant>
        <vt:i4>0</vt:i4>
      </vt:variant>
      <vt:variant>
        <vt:i4>5</vt:i4>
      </vt:variant>
      <vt:variant>
        <vt:lpwstr/>
      </vt:variant>
      <vt:variant>
        <vt:lpwstr>_Toc220933077</vt:lpwstr>
      </vt:variant>
      <vt:variant>
        <vt:i4>1572913</vt:i4>
      </vt:variant>
      <vt:variant>
        <vt:i4>281</vt:i4>
      </vt:variant>
      <vt:variant>
        <vt:i4>0</vt:i4>
      </vt:variant>
      <vt:variant>
        <vt:i4>5</vt:i4>
      </vt:variant>
      <vt:variant>
        <vt:lpwstr/>
      </vt:variant>
      <vt:variant>
        <vt:lpwstr>_Toc220933076</vt:lpwstr>
      </vt:variant>
      <vt:variant>
        <vt:i4>1572913</vt:i4>
      </vt:variant>
      <vt:variant>
        <vt:i4>275</vt:i4>
      </vt:variant>
      <vt:variant>
        <vt:i4>0</vt:i4>
      </vt:variant>
      <vt:variant>
        <vt:i4>5</vt:i4>
      </vt:variant>
      <vt:variant>
        <vt:lpwstr/>
      </vt:variant>
      <vt:variant>
        <vt:lpwstr>_Toc220933075</vt:lpwstr>
      </vt:variant>
      <vt:variant>
        <vt:i4>1572913</vt:i4>
      </vt:variant>
      <vt:variant>
        <vt:i4>269</vt:i4>
      </vt:variant>
      <vt:variant>
        <vt:i4>0</vt:i4>
      </vt:variant>
      <vt:variant>
        <vt:i4>5</vt:i4>
      </vt:variant>
      <vt:variant>
        <vt:lpwstr/>
      </vt:variant>
      <vt:variant>
        <vt:lpwstr>_Toc220933074</vt:lpwstr>
      </vt:variant>
      <vt:variant>
        <vt:i4>1572913</vt:i4>
      </vt:variant>
      <vt:variant>
        <vt:i4>263</vt:i4>
      </vt:variant>
      <vt:variant>
        <vt:i4>0</vt:i4>
      </vt:variant>
      <vt:variant>
        <vt:i4>5</vt:i4>
      </vt:variant>
      <vt:variant>
        <vt:lpwstr/>
      </vt:variant>
      <vt:variant>
        <vt:lpwstr>_Toc220933073</vt:lpwstr>
      </vt:variant>
      <vt:variant>
        <vt:i4>1572913</vt:i4>
      </vt:variant>
      <vt:variant>
        <vt:i4>257</vt:i4>
      </vt:variant>
      <vt:variant>
        <vt:i4>0</vt:i4>
      </vt:variant>
      <vt:variant>
        <vt:i4>5</vt:i4>
      </vt:variant>
      <vt:variant>
        <vt:lpwstr/>
      </vt:variant>
      <vt:variant>
        <vt:lpwstr>_Toc220933072</vt:lpwstr>
      </vt:variant>
      <vt:variant>
        <vt:i4>1572913</vt:i4>
      </vt:variant>
      <vt:variant>
        <vt:i4>251</vt:i4>
      </vt:variant>
      <vt:variant>
        <vt:i4>0</vt:i4>
      </vt:variant>
      <vt:variant>
        <vt:i4>5</vt:i4>
      </vt:variant>
      <vt:variant>
        <vt:lpwstr/>
      </vt:variant>
      <vt:variant>
        <vt:lpwstr>_Toc220933071</vt:lpwstr>
      </vt:variant>
      <vt:variant>
        <vt:i4>1572913</vt:i4>
      </vt:variant>
      <vt:variant>
        <vt:i4>245</vt:i4>
      </vt:variant>
      <vt:variant>
        <vt:i4>0</vt:i4>
      </vt:variant>
      <vt:variant>
        <vt:i4>5</vt:i4>
      </vt:variant>
      <vt:variant>
        <vt:lpwstr/>
      </vt:variant>
      <vt:variant>
        <vt:lpwstr>_Toc220933070</vt:lpwstr>
      </vt:variant>
      <vt:variant>
        <vt:i4>1638449</vt:i4>
      </vt:variant>
      <vt:variant>
        <vt:i4>239</vt:i4>
      </vt:variant>
      <vt:variant>
        <vt:i4>0</vt:i4>
      </vt:variant>
      <vt:variant>
        <vt:i4>5</vt:i4>
      </vt:variant>
      <vt:variant>
        <vt:lpwstr/>
      </vt:variant>
      <vt:variant>
        <vt:lpwstr>_Toc220933069</vt:lpwstr>
      </vt:variant>
      <vt:variant>
        <vt:i4>1638449</vt:i4>
      </vt:variant>
      <vt:variant>
        <vt:i4>233</vt:i4>
      </vt:variant>
      <vt:variant>
        <vt:i4>0</vt:i4>
      </vt:variant>
      <vt:variant>
        <vt:i4>5</vt:i4>
      </vt:variant>
      <vt:variant>
        <vt:lpwstr/>
      </vt:variant>
      <vt:variant>
        <vt:lpwstr>_Toc220933068</vt:lpwstr>
      </vt:variant>
      <vt:variant>
        <vt:i4>1638449</vt:i4>
      </vt:variant>
      <vt:variant>
        <vt:i4>227</vt:i4>
      </vt:variant>
      <vt:variant>
        <vt:i4>0</vt:i4>
      </vt:variant>
      <vt:variant>
        <vt:i4>5</vt:i4>
      </vt:variant>
      <vt:variant>
        <vt:lpwstr/>
      </vt:variant>
      <vt:variant>
        <vt:lpwstr>_Toc220933067</vt:lpwstr>
      </vt:variant>
      <vt:variant>
        <vt:i4>1638449</vt:i4>
      </vt:variant>
      <vt:variant>
        <vt:i4>221</vt:i4>
      </vt:variant>
      <vt:variant>
        <vt:i4>0</vt:i4>
      </vt:variant>
      <vt:variant>
        <vt:i4>5</vt:i4>
      </vt:variant>
      <vt:variant>
        <vt:lpwstr/>
      </vt:variant>
      <vt:variant>
        <vt:lpwstr>_Toc220933066</vt:lpwstr>
      </vt:variant>
      <vt:variant>
        <vt:i4>1638449</vt:i4>
      </vt:variant>
      <vt:variant>
        <vt:i4>215</vt:i4>
      </vt:variant>
      <vt:variant>
        <vt:i4>0</vt:i4>
      </vt:variant>
      <vt:variant>
        <vt:i4>5</vt:i4>
      </vt:variant>
      <vt:variant>
        <vt:lpwstr/>
      </vt:variant>
      <vt:variant>
        <vt:lpwstr>_Toc220933065</vt:lpwstr>
      </vt:variant>
      <vt:variant>
        <vt:i4>1638449</vt:i4>
      </vt:variant>
      <vt:variant>
        <vt:i4>209</vt:i4>
      </vt:variant>
      <vt:variant>
        <vt:i4>0</vt:i4>
      </vt:variant>
      <vt:variant>
        <vt:i4>5</vt:i4>
      </vt:variant>
      <vt:variant>
        <vt:lpwstr/>
      </vt:variant>
      <vt:variant>
        <vt:lpwstr>_Toc220933064</vt:lpwstr>
      </vt:variant>
      <vt:variant>
        <vt:i4>1638449</vt:i4>
      </vt:variant>
      <vt:variant>
        <vt:i4>203</vt:i4>
      </vt:variant>
      <vt:variant>
        <vt:i4>0</vt:i4>
      </vt:variant>
      <vt:variant>
        <vt:i4>5</vt:i4>
      </vt:variant>
      <vt:variant>
        <vt:lpwstr/>
      </vt:variant>
      <vt:variant>
        <vt:lpwstr>_Toc220933063</vt:lpwstr>
      </vt:variant>
      <vt:variant>
        <vt:i4>1638449</vt:i4>
      </vt:variant>
      <vt:variant>
        <vt:i4>197</vt:i4>
      </vt:variant>
      <vt:variant>
        <vt:i4>0</vt:i4>
      </vt:variant>
      <vt:variant>
        <vt:i4>5</vt:i4>
      </vt:variant>
      <vt:variant>
        <vt:lpwstr/>
      </vt:variant>
      <vt:variant>
        <vt:lpwstr>_Toc220933062</vt:lpwstr>
      </vt:variant>
      <vt:variant>
        <vt:i4>1638449</vt:i4>
      </vt:variant>
      <vt:variant>
        <vt:i4>191</vt:i4>
      </vt:variant>
      <vt:variant>
        <vt:i4>0</vt:i4>
      </vt:variant>
      <vt:variant>
        <vt:i4>5</vt:i4>
      </vt:variant>
      <vt:variant>
        <vt:lpwstr/>
      </vt:variant>
      <vt:variant>
        <vt:lpwstr>_Toc220933061</vt:lpwstr>
      </vt:variant>
      <vt:variant>
        <vt:i4>1638449</vt:i4>
      </vt:variant>
      <vt:variant>
        <vt:i4>185</vt:i4>
      </vt:variant>
      <vt:variant>
        <vt:i4>0</vt:i4>
      </vt:variant>
      <vt:variant>
        <vt:i4>5</vt:i4>
      </vt:variant>
      <vt:variant>
        <vt:lpwstr/>
      </vt:variant>
      <vt:variant>
        <vt:lpwstr>_Toc220933060</vt:lpwstr>
      </vt:variant>
      <vt:variant>
        <vt:i4>1703985</vt:i4>
      </vt:variant>
      <vt:variant>
        <vt:i4>179</vt:i4>
      </vt:variant>
      <vt:variant>
        <vt:i4>0</vt:i4>
      </vt:variant>
      <vt:variant>
        <vt:i4>5</vt:i4>
      </vt:variant>
      <vt:variant>
        <vt:lpwstr/>
      </vt:variant>
      <vt:variant>
        <vt:lpwstr>_Toc220933059</vt:lpwstr>
      </vt:variant>
      <vt:variant>
        <vt:i4>1703985</vt:i4>
      </vt:variant>
      <vt:variant>
        <vt:i4>173</vt:i4>
      </vt:variant>
      <vt:variant>
        <vt:i4>0</vt:i4>
      </vt:variant>
      <vt:variant>
        <vt:i4>5</vt:i4>
      </vt:variant>
      <vt:variant>
        <vt:lpwstr/>
      </vt:variant>
      <vt:variant>
        <vt:lpwstr>_Toc220933058</vt:lpwstr>
      </vt:variant>
      <vt:variant>
        <vt:i4>1703985</vt:i4>
      </vt:variant>
      <vt:variant>
        <vt:i4>167</vt:i4>
      </vt:variant>
      <vt:variant>
        <vt:i4>0</vt:i4>
      </vt:variant>
      <vt:variant>
        <vt:i4>5</vt:i4>
      </vt:variant>
      <vt:variant>
        <vt:lpwstr/>
      </vt:variant>
      <vt:variant>
        <vt:lpwstr>_Toc220933057</vt:lpwstr>
      </vt:variant>
      <vt:variant>
        <vt:i4>1703985</vt:i4>
      </vt:variant>
      <vt:variant>
        <vt:i4>161</vt:i4>
      </vt:variant>
      <vt:variant>
        <vt:i4>0</vt:i4>
      </vt:variant>
      <vt:variant>
        <vt:i4>5</vt:i4>
      </vt:variant>
      <vt:variant>
        <vt:lpwstr/>
      </vt:variant>
      <vt:variant>
        <vt:lpwstr>_Toc220933056</vt:lpwstr>
      </vt:variant>
      <vt:variant>
        <vt:i4>1703985</vt:i4>
      </vt:variant>
      <vt:variant>
        <vt:i4>155</vt:i4>
      </vt:variant>
      <vt:variant>
        <vt:i4>0</vt:i4>
      </vt:variant>
      <vt:variant>
        <vt:i4>5</vt:i4>
      </vt:variant>
      <vt:variant>
        <vt:lpwstr/>
      </vt:variant>
      <vt:variant>
        <vt:lpwstr>_Toc220933055</vt:lpwstr>
      </vt:variant>
      <vt:variant>
        <vt:i4>1703985</vt:i4>
      </vt:variant>
      <vt:variant>
        <vt:i4>149</vt:i4>
      </vt:variant>
      <vt:variant>
        <vt:i4>0</vt:i4>
      </vt:variant>
      <vt:variant>
        <vt:i4>5</vt:i4>
      </vt:variant>
      <vt:variant>
        <vt:lpwstr/>
      </vt:variant>
      <vt:variant>
        <vt:lpwstr>_Toc220933054</vt:lpwstr>
      </vt:variant>
      <vt:variant>
        <vt:i4>1703985</vt:i4>
      </vt:variant>
      <vt:variant>
        <vt:i4>143</vt:i4>
      </vt:variant>
      <vt:variant>
        <vt:i4>0</vt:i4>
      </vt:variant>
      <vt:variant>
        <vt:i4>5</vt:i4>
      </vt:variant>
      <vt:variant>
        <vt:lpwstr/>
      </vt:variant>
      <vt:variant>
        <vt:lpwstr>_Toc220933053</vt:lpwstr>
      </vt:variant>
      <vt:variant>
        <vt:i4>1703985</vt:i4>
      </vt:variant>
      <vt:variant>
        <vt:i4>137</vt:i4>
      </vt:variant>
      <vt:variant>
        <vt:i4>0</vt:i4>
      </vt:variant>
      <vt:variant>
        <vt:i4>5</vt:i4>
      </vt:variant>
      <vt:variant>
        <vt:lpwstr/>
      </vt:variant>
      <vt:variant>
        <vt:lpwstr>_Toc220933052</vt:lpwstr>
      </vt:variant>
      <vt:variant>
        <vt:i4>1703985</vt:i4>
      </vt:variant>
      <vt:variant>
        <vt:i4>131</vt:i4>
      </vt:variant>
      <vt:variant>
        <vt:i4>0</vt:i4>
      </vt:variant>
      <vt:variant>
        <vt:i4>5</vt:i4>
      </vt:variant>
      <vt:variant>
        <vt:lpwstr/>
      </vt:variant>
      <vt:variant>
        <vt:lpwstr>_Toc220933051</vt:lpwstr>
      </vt:variant>
      <vt:variant>
        <vt:i4>1703985</vt:i4>
      </vt:variant>
      <vt:variant>
        <vt:i4>125</vt:i4>
      </vt:variant>
      <vt:variant>
        <vt:i4>0</vt:i4>
      </vt:variant>
      <vt:variant>
        <vt:i4>5</vt:i4>
      </vt:variant>
      <vt:variant>
        <vt:lpwstr/>
      </vt:variant>
      <vt:variant>
        <vt:lpwstr>_Toc220933050</vt:lpwstr>
      </vt:variant>
      <vt:variant>
        <vt:i4>1769521</vt:i4>
      </vt:variant>
      <vt:variant>
        <vt:i4>119</vt:i4>
      </vt:variant>
      <vt:variant>
        <vt:i4>0</vt:i4>
      </vt:variant>
      <vt:variant>
        <vt:i4>5</vt:i4>
      </vt:variant>
      <vt:variant>
        <vt:lpwstr/>
      </vt:variant>
      <vt:variant>
        <vt:lpwstr>_Toc220933049</vt:lpwstr>
      </vt:variant>
      <vt:variant>
        <vt:i4>1769521</vt:i4>
      </vt:variant>
      <vt:variant>
        <vt:i4>113</vt:i4>
      </vt:variant>
      <vt:variant>
        <vt:i4>0</vt:i4>
      </vt:variant>
      <vt:variant>
        <vt:i4>5</vt:i4>
      </vt:variant>
      <vt:variant>
        <vt:lpwstr/>
      </vt:variant>
      <vt:variant>
        <vt:lpwstr>_Toc220933048</vt:lpwstr>
      </vt:variant>
      <vt:variant>
        <vt:i4>1769521</vt:i4>
      </vt:variant>
      <vt:variant>
        <vt:i4>107</vt:i4>
      </vt:variant>
      <vt:variant>
        <vt:i4>0</vt:i4>
      </vt:variant>
      <vt:variant>
        <vt:i4>5</vt:i4>
      </vt:variant>
      <vt:variant>
        <vt:lpwstr/>
      </vt:variant>
      <vt:variant>
        <vt:lpwstr>_Toc220933047</vt:lpwstr>
      </vt:variant>
      <vt:variant>
        <vt:i4>1769521</vt:i4>
      </vt:variant>
      <vt:variant>
        <vt:i4>101</vt:i4>
      </vt:variant>
      <vt:variant>
        <vt:i4>0</vt:i4>
      </vt:variant>
      <vt:variant>
        <vt:i4>5</vt:i4>
      </vt:variant>
      <vt:variant>
        <vt:lpwstr/>
      </vt:variant>
      <vt:variant>
        <vt:lpwstr>_Toc220933046</vt:lpwstr>
      </vt:variant>
      <vt:variant>
        <vt:i4>1769521</vt:i4>
      </vt:variant>
      <vt:variant>
        <vt:i4>95</vt:i4>
      </vt:variant>
      <vt:variant>
        <vt:i4>0</vt:i4>
      </vt:variant>
      <vt:variant>
        <vt:i4>5</vt:i4>
      </vt:variant>
      <vt:variant>
        <vt:lpwstr/>
      </vt:variant>
      <vt:variant>
        <vt:lpwstr>_Toc220933045</vt:lpwstr>
      </vt:variant>
      <vt:variant>
        <vt:i4>1769521</vt:i4>
      </vt:variant>
      <vt:variant>
        <vt:i4>89</vt:i4>
      </vt:variant>
      <vt:variant>
        <vt:i4>0</vt:i4>
      </vt:variant>
      <vt:variant>
        <vt:i4>5</vt:i4>
      </vt:variant>
      <vt:variant>
        <vt:lpwstr/>
      </vt:variant>
      <vt:variant>
        <vt:lpwstr>_Toc220933044</vt:lpwstr>
      </vt:variant>
      <vt:variant>
        <vt:i4>1769521</vt:i4>
      </vt:variant>
      <vt:variant>
        <vt:i4>83</vt:i4>
      </vt:variant>
      <vt:variant>
        <vt:i4>0</vt:i4>
      </vt:variant>
      <vt:variant>
        <vt:i4>5</vt:i4>
      </vt:variant>
      <vt:variant>
        <vt:lpwstr/>
      </vt:variant>
      <vt:variant>
        <vt:lpwstr>_Toc220933043</vt:lpwstr>
      </vt:variant>
      <vt:variant>
        <vt:i4>1769521</vt:i4>
      </vt:variant>
      <vt:variant>
        <vt:i4>77</vt:i4>
      </vt:variant>
      <vt:variant>
        <vt:i4>0</vt:i4>
      </vt:variant>
      <vt:variant>
        <vt:i4>5</vt:i4>
      </vt:variant>
      <vt:variant>
        <vt:lpwstr/>
      </vt:variant>
      <vt:variant>
        <vt:lpwstr>_Toc220933042</vt:lpwstr>
      </vt:variant>
      <vt:variant>
        <vt:i4>1769521</vt:i4>
      </vt:variant>
      <vt:variant>
        <vt:i4>71</vt:i4>
      </vt:variant>
      <vt:variant>
        <vt:i4>0</vt:i4>
      </vt:variant>
      <vt:variant>
        <vt:i4>5</vt:i4>
      </vt:variant>
      <vt:variant>
        <vt:lpwstr/>
      </vt:variant>
      <vt:variant>
        <vt:lpwstr>_Toc220933041</vt:lpwstr>
      </vt:variant>
      <vt:variant>
        <vt:i4>1769521</vt:i4>
      </vt:variant>
      <vt:variant>
        <vt:i4>65</vt:i4>
      </vt:variant>
      <vt:variant>
        <vt:i4>0</vt:i4>
      </vt:variant>
      <vt:variant>
        <vt:i4>5</vt:i4>
      </vt:variant>
      <vt:variant>
        <vt:lpwstr/>
      </vt:variant>
      <vt:variant>
        <vt:lpwstr>_Toc220933040</vt:lpwstr>
      </vt:variant>
      <vt:variant>
        <vt:i4>1835057</vt:i4>
      </vt:variant>
      <vt:variant>
        <vt:i4>59</vt:i4>
      </vt:variant>
      <vt:variant>
        <vt:i4>0</vt:i4>
      </vt:variant>
      <vt:variant>
        <vt:i4>5</vt:i4>
      </vt:variant>
      <vt:variant>
        <vt:lpwstr/>
      </vt:variant>
      <vt:variant>
        <vt:lpwstr>_Toc220933039</vt:lpwstr>
      </vt:variant>
      <vt:variant>
        <vt:i4>1835057</vt:i4>
      </vt:variant>
      <vt:variant>
        <vt:i4>53</vt:i4>
      </vt:variant>
      <vt:variant>
        <vt:i4>0</vt:i4>
      </vt:variant>
      <vt:variant>
        <vt:i4>5</vt:i4>
      </vt:variant>
      <vt:variant>
        <vt:lpwstr/>
      </vt:variant>
      <vt:variant>
        <vt:lpwstr>_Toc220933038</vt:lpwstr>
      </vt:variant>
      <vt:variant>
        <vt:i4>1835057</vt:i4>
      </vt:variant>
      <vt:variant>
        <vt:i4>47</vt:i4>
      </vt:variant>
      <vt:variant>
        <vt:i4>0</vt:i4>
      </vt:variant>
      <vt:variant>
        <vt:i4>5</vt:i4>
      </vt:variant>
      <vt:variant>
        <vt:lpwstr/>
      </vt:variant>
      <vt:variant>
        <vt:lpwstr>_Toc220933037</vt:lpwstr>
      </vt:variant>
      <vt:variant>
        <vt:i4>1835057</vt:i4>
      </vt:variant>
      <vt:variant>
        <vt:i4>41</vt:i4>
      </vt:variant>
      <vt:variant>
        <vt:i4>0</vt:i4>
      </vt:variant>
      <vt:variant>
        <vt:i4>5</vt:i4>
      </vt:variant>
      <vt:variant>
        <vt:lpwstr/>
      </vt:variant>
      <vt:variant>
        <vt:lpwstr>_Toc220933036</vt:lpwstr>
      </vt:variant>
      <vt:variant>
        <vt:i4>1835057</vt:i4>
      </vt:variant>
      <vt:variant>
        <vt:i4>35</vt:i4>
      </vt:variant>
      <vt:variant>
        <vt:i4>0</vt:i4>
      </vt:variant>
      <vt:variant>
        <vt:i4>5</vt:i4>
      </vt:variant>
      <vt:variant>
        <vt:lpwstr/>
      </vt:variant>
      <vt:variant>
        <vt:lpwstr>_Toc220933035</vt:lpwstr>
      </vt:variant>
      <vt:variant>
        <vt:i4>1835057</vt:i4>
      </vt:variant>
      <vt:variant>
        <vt:i4>29</vt:i4>
      </vt:variant>
      <vt:variant>
        <vt:i4>0</vt:i4>
      </vt:variant>
      <vt:variant>
        <vt:i4>5</vt:i4>
      </vt:variant>
      <vt:variant>
        <vt:lpwstr/>
      </vt:variant>
      <vt:variant>
        <vt:lpwstr>_Toc220933034</vt:lpwstr>
      </vt:variant>
      <vt:variant>
        <vt:i4>1835057</vt:i4>
      </vt:variant>
      <vt:variant>
        <vt:i4>23</vt:i4>
      </vt:variant>
      <vt:variant>
        <vt:i4>0</vt:i4>
      </vt:variant>
      <vt:variant>
        <vt:i4>5</vt:i4>
      </vt:variant>
      <vt:variant>
        <vt:lpwstr/>
      </vt:variant>
      <vt:variant>
        <vt:lpwstr>_Toc220933033</vt:lpwstr>
      </vt:variant>
      <vt:variant>
        <vt:i4>1835057</vt:i4>
      </vt:variant>
      <vt:variant>
        <vt:i4>17</vt:i4>
      </vt:variant>
      <vt:variant>
        <vt:i4>0</vt:i4>
      </vt:variant>
      <vt:variant>
        <vt:i4>5</vt:i4>
      </vt:variant>
      <vt:variant>
        <vt:lpwstr/>
      </vt:variant>
      <vt:variant>
        <vt:lpwstr>_Toc220933032</vt:lpwstr>
      </vt:variant>
      <vt:variant>
        <vt:i4>1835057</vt:i4>
      </vt:variant>
      <vt:variant>
        <vt:i4>11</vt:i4>
      </vt:variant>
      <vt:variant>
        <vt:i4>0</vt:i4>
      </vt:variant>
      <vt:variant>
        <vt:i4>5</vt:i4>
      </vt:variant>
      <vt:variant>
        <vt:lpwstr/>
      </vt:variant>
      <vt:variant>
        <vt:lpwstr>_Toc220933031</vt:lpwstr>
      </vt:variant>
      <vt:variant>
        <vt:i4>1835057</vt:i4>
      </vt:variant>
      <vt:variant>
        <vt:i4>5</vt:i4>
      </vt:variant>
      <vt:variant>
        <vt:i4>0</vt:i4>
      </vt:variant>
      <vt:variant>
        <vt:i4>5</vt:i4>
      </vt:variant>
      <vt:variant>
        <vt:lpwstr/>
      </vt:variant>
      <vt:variant>
        <vt:lpwstr>_Toc220933030</vt:lpwstr>
      </vt:variant>
      <vt:variant>
        <vt:i4>4391002</vt:i4>
      </vt:variant>
      <vt:variant>
        <vt:i4>57</vt:i4>
      </vt:variant>
      <vt:variant>
        <vt:i4>0</vt:i4>
      </vt:variant>
      <vt:variant>
        <vt:i4>5</vt:i4>
      </vt:variant>
      <vt:variant>
        <vt:lpwstr>https://www.qls.com.au/resource-centre/practice-support/records-management/charging-for-document-storage</vt:lpwstr>
      </vt:variant>
      <vt:variant>
        <vt:lpwstr/>
      </vt:variant>
      <vt:variant>
        <vt:i4>4980753</vt:i4>
      </vt:variant>
      <vt:variant>
        <vt:i4>54</vt:i4>
      </vt:variant>
      <vt:variant>
        <vt:i4>0</vt:i4>
      </vt:variant>
      <vt:variant>
        <vt:i4>5</vt:i4>
      </vt:variant>
      <vt:variant>
        <vt:lpwstr>https://www.oaic.gov.au/privacy/privacy-guidance-for-organisations-and-government-agencies/preventing-preparing-for-and-responding-to-data-breaches/data-breach-preparation-and-response/part-4-notifiable-data-breach-ndb-scheme</vt:lpwstr>
      </vt:variant>
      <vt:variant>
        <vt:lpwstr/>
      </vt:variant>
      <vt:variant>
        <vt:i4>7274541</vt:i4>
      </vt:variant>
      <vt:variant>
        <vt:i4>51</vt:i4>
      </vt:variant>
      <vt:variant>
        <vt:i4>0</vt:i4>
      </vt:variant>
      <vt:variant>
        <vt:i4>5</vt:i4>
      </vt:variant>
      <vt:variant>
        <vt:lpwstr>https://www.qls.com.au/content-collections/guides/multi-factor-authentication-guide</vt:lpwstr>
      </vt:variant>
      <vt:variant>
        <vt:lpwstr/>
      </vt:variant>
      <vt:variant>
        <vt:i4>6553710</vt:i4>
      </vt:variant>
      <vt:variant>
        <vt:i4>48</vt:i4>
      </vt:variant>
      <vt:variant>
        <vt:i4>0</vt:i4>
      </vt:variant>
      <vt:variant>
        <vt:i4>5</vt:i4>
      </vt:variant>
      <vt:variant>
        <vt:lpwstr>https://www.qls.com.au/content-collections/template/qls-password-protection-policy-template</vt:lpwstr>
      </vt:variant>
      <vt:variant>
        <vt:lpwstr/>
      </vt:variant>
      <vt:variant>
        <vt:i4>917513</vt:i4>
      </vt:variant>
      <vt:variant>
        <vt:i4>45</vt:i4>
      </vt:variant>
      <vt:variant>
        <vt:i4>0</vt:i4>
      </vt:variant>
      <vt:variant>
        <vt:i4>5</vt:i4>
      </vt:variant>
      <vt:variant>
        <vt:lpwstr>https://www.cyber.gov.au/business-government/small-business-cyber-security/small-business-hub/small-business-cyber-security-guide</vt:lpwstr>
      </vt:variant>
      <vt:variant>
        <vt:lpwstr/>
      </vt:variant>
      <vt:variant>
        <vt:i4>7012478</vt:i4>
      </vt:variant>
      <vt:variant>
        <vt:i4>42</vt:i4>
      </vt:variant>
      <vt:variant>
        <vt:i4>0</vt:i4>
      </vt:variant>
      <vt:variant>
        <vt:i4>5</vt:i4>
      </vt:variant>
      <vt:variant>
        <vt:lpwstr>https://www.qls.com.au/content-collections/guides/document-retention-guide</vt:lpwstr>
      </vt:variant>
      <vt:variant>
        <vt:lpwstr/>
      </vt:variant>
      <vt:variant>
        <vt:i4>6488141</vt:i4>
      </vt:variant>
      <vt:variant>
        <vt:i4>39</vt:i4>
      </vt:variant>
      <vt:variant>
        <vt:i4>0</vt:i4>
      </vt:variant>
      <vt:variant>
        <vt:i4>5</vt:i4>
      </vt:variant>
      <vt:variant>
        <vt:lpwstr>https://www.oaic.gov.au/__data/assets/pdf_file/0035/256958/APP-Guidelines-Chapter-11-Security-of-personal-information-October-2025-v1.3.PDF</vt:lpwstr>
      </vt:variant>
      <vt:variant>
        <vt:lpwstr/>
      </vt:variant>
      <vt:variant>
        <vt:i4>5963822</vt:i4>
      </vt:variant>
      <vt:variant>
        <vt:i4>36</vt:i4>
      </vt:variant>
      <vt:variant>
        <vt:i4>0</vt:i4>
      </vt:variant>
      <vt:variant>
        <vt:i4>5</vt:i4>
      </vt:variant>
      <vt:variant>
        <vt:lpwstr>https://classic.austlii.edu.au/au/legis/qld/consol_act/lpa2007179/s713a.html</vt:lpwstr>
      </vt:variant>
      <vt:variant>
        <vt:lpwstr/>
      </vt:variant>
      <vt:variant>
        <vt:i4>7208987</vt:i4>
      </vt:variant>
      <vt:variant>
        <vt:i4>33</vt:i4>
      </vt:variant>
      <vt:variant>
        <vt:i4>0</vt:i4>
      </vt:variant>
      <vt:variant>
        <vt:i4>5</vt:i4>
      </vt:variant>
      <vt:variant>
        <vt:lpwstr>https://www.arnecc.gov.au/wp-content/uploads/2021/08/Model_Participation_Rules_Guidance_Note_5_-_Retention_of_Evidence_Consultation_Draft.pdf</vt:lpwstr>
      </vt:variant>
      <vt:variant>
        <vt:lpwstr/>
      </vt:variant>
      <vt:variant>
        <vt:i4>131082</vt:i4>
      </vt:variant>
      <vt:variant>
        <vt:i4>30</vt:i4>
      </vt:variant>
      <vt:variant>
        <vt:i4>0</vt:i4>
      </vt:variant>
      <vt:variant>
        <vt:i4>5</vt:i4>
      </vt:variant>
      <vt:variant>
        <vt:lpwstr>https://www.arnecc.gov.au/wp-content/uploads/2021/08/mpr-guidance-note-2-verification-of-identity.pdf</vt:lpwstr>
      </vt:variant>
      <vt:variant>
        <vt:lpwstr/>
      </vt:variant>
      <vt:variant>
        <vt:i4>6160428</vt:i4>
      </vt:variant>
      <vt:variant>
        <vt:i4>27</vt:i4>
      </vt:variant>
      <vt:variant>
        <vt:i4>0</vt:i4>
      </vt:variant>
      <vt:variant>
        <vt:i4>5</vt:i4>
      </vt:variant>
      <vt:variant>
        <vt:lpwstr>https://www.liv.asn.au/Common/Uploaded files/Knowledge-Hub/AML/20251211_Ethics Guideline_Balancing_LPP_and_AML_Final.pdf?srsltid=AfmBOorPmu_h1DMos1tsAjYGOluEPM9F0B89qF15ObctGAlgnSWWqzew</vt:lpwstr>
      </vt:variant>
      <vt:variant>
        <vt:lpwstr/>
      </vt:variant>
      <vt:variant>
        <vt:i4>7733344</vt:i4>
      </vt:variant>
      <vt:variant>
        <vt:i4>24</vt:i4>
      </vt:variant>
      <vt:variant>
        <vt:i4>0</vt:i4>
      </vt:variant>
      <vt:variant>
        <vt:i4>5</vt:i4>
      </vt:variant>
      <vt:variant>
        <vt:lpwstr>https://www.austrac.gov.au/reforms/sector-specific-guidance/legal-profession-guidance/legal-profession-program-starter-kit/legal-profession-program-starter-kit-document-library</vt:lpwstr>
      </vt:variant>
      <vt:variant>
        <vt:lpwstr>Process%20document</vt:lpwstr>
      </vt:variant>
      <vt:variant>
        <vt:i4>2097262</vt:i4>
      </vt:variant>
      <vt:variant>
        <vt:i4>21</vt:i4>
      </vt:variant>
      <vt:variant>
        <vt:i4>0</vt:i4>
      </vt:variant>
      <vt:variant>
        <vt:i4>5</vt:i4>
      </vt:variant>
      <vt:variant>
        <vt:lpwstr>https://www.qlsproctor.com.au/2021/06/who-owns-file-notes/</vt:lpwstr>
      </vt:variant>
      <vt:variant>
        <vt:lpwstr/>
      </vt:variant>
      <vt:variant>
        <vt:i4>7929958</vt:i4>
      </vt:variant>
      <vt:variant>
        <vt:i4>18</vt:i4>
      </vt:variant>
      <vt:variant>
        <vt:i4>0</vt:i4>
      </vt:variant>
      <vt:variant>
        <vt:i4>5</vt:i4>
      </vt:variant>
      <vt:variant>
        <vt:lpwstr>https://www.qls.com.au/practising-law-in-qld/ethics/guidance-statements/no-30-transfer-of-files</vt:lpwstr>
      </vt:variant>
      <vt:variant>
        <vt:lpwstr/>
      </vt:variant>
      <vt:variant>
        <vt:i4>7012478</vt:i4>
      </vt:variant>
      <vt:variant>
        <vt:i4>15</vt:i4>
      </vt:variant>
      <vt:variant>
        <vt:i4>0</vt:i4>
      </vt:variant>
      <vt:variant>
        <vt:i4>5</vt:i4>
      </vt:variant>
      <vt:variant>
        <vt:lpwstr>https://www.qls.com.au/content-collections/guides/document-retention-guide</vt:lpwstr>
      </vt:variant>
      <vt:variant>
        <vt:lpwstr/>
      </vt:variant>
      <vt:variant>
        <vt:i4>7012478</vt:i4>
      </vt:variant>
      <vt:variant>
        <vt:i4>12</vt:i4>
      </vt:variant>
      <vt:variant>
        <vt:i4>0</vt:i4>
      </vt:variant>
      <vt:variant>
        <vt:i4>5</vt:i4>
      </vt:variant>
      <vt:variant>
        <vt:lpwstr>https://www.qls.com.au/content-collections/guides/document-retention-guide</vt:lpwstr>
      </vt:variant>
      <vt:variant>
        <vt:lpwstr/>
      </vt:variant>
      <vt:variant>
        <vt:i4>3276852</vt:i4>
      </vt:variant>
      <vt:variant>
        <vt:i4>9</vt:i4>
      </vt:variant>
      <vt:variant>
        <vt:i4>0</vt:i4>
      </vt:variant>
      <vt:variant>
        <vt:i4>5</vt:i4>
      </vt:variant>
      <vt:variant>
        <vt:lpwstr>https://www.hcourt.gov.au/cases-and-judgments/judgments/judgments-1998-current/hearne-v-street</vt:lpwstr>
      </vt:variant>
      <vt:variant>
        <vt:lpwstr/>
      </vt:variant>
      <vt:variant>
        <vt:i4>7536682</vt:i4>
      </vt:variant>
      <vt:variant>
        <vt:i4>6</vt:i4>
      </vt:variant>
      <vt:variant>
        <vt:i4>0</vt:i4>
      </vt:variant>
      <vt:variant>
        <vt:i4>5</vt:i4>
      </vt:variant>
      <vt:variant>
        <vt:lpwstr>https://www.liv.asn.au/Common/Uploaded files/Knowledge-Hub/AML/20251211_Ethics Guideline_Balancing_LPP_and_AML_Final.pdf?srsltid=AfmBOopEwcjwrhk5aWxJ9nQKzN9R5od8woAFmSVgzU-2qfP0zB7ou5KM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Bowles</dc:creator>
  <cp:keywords/>
  <cp:lastModifiedBy>David Bowles</cp:lastModifiedBy>
  <cp:revision>3</cp:revision>
  <cp:lastPrinted>2026-05-11T22:46:00Z</cp:lastPrinted>
  <dcterms:created xsi:type="dcterms:W3CDTF">2026-06-10T03:46:00Z</dcterms:created>
  <dcterms:modified xsi:type="dcterms:W3CDTF">2026-06-10T03:52:00Z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0x010100B4745D213156E64DA94EA763FC872FF8</vt:lpwstr>
  </property>
</Properties>
</file>