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AB02" w14:textId="77777777" w:rsidR="00E840CC" w:rsidRPr="003B6B1B" w:rsidRDefault="00E840CC" w:rsidP="00E840CC">
      <w:pPr>
        <w:pStyle w:val="Heading2"/>
        <w:rPr>
          <w:rFonts w:cs="Arial"/>
        </w:rPr>
      </w:pPr>
      <w:r w:rsidRPr="003B6B1B">
        <w:rPr>
          <w:rFonts w:cs="Arial"/>
        </w:rPr>
        <w:t xml:space="preserve">Checklist </w:t>
      </w:r>
    </w:p>
    <w:p w14:paraId="17B14A10" w14:textId="4A875EC3" w:rsidR="00E840CC" w:rsidRPr="003B6B1B" w:rsidRDefault="00E840CC" w:rsidP="00E840CC">
      <w:pPr>
        <w:pStyle w:val="Heading1"/>
        <w:rPr>
          <w:rFonts w:ascii="Arial" w:hAnsi="Arial" w:cs="Arial"/>
          <w:szCs w:val="52"/>
        </w:rPr>
      </w:pPr>
      <w:r w:rsidRPr="003B6B1B">
        <w:rPr>
          <w:rFonts w:ascii="Arial" w:hAnsi="Arial" w:cs="Arial"/>
          <w:szCs w:val="52"/>
        </w:rPr>
        <w:t xml:space="preserve">AML/CTF REGTECH  </w:t>
      </w:r>
    </w:p>
    <w:tbl>
      <w:tblPr>
        <w:tblStyle w:val="TableGrid"/>
        <w:tblW w:w="9016" w:type="dxa"/>
        <w:tblBorders>
          <w:top w:val="single" w:sz="4" w:space="0" w:color="0F2D5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840CC" w:rsidRPr="003B6B1B" w14:paraId="65100A29" w14:textId="77777777" w:rsidTr="00720C5B">
        <w:tc>
          <w:tcPr>
            <w:tcW w:w="9016" w:type="dxa"/>
            <w:tcBorders>
              <w:top w:val="single" w:sz="48" w:space="0" w:color="0F2D52"/>
            </w:tcBorders>
          </w:tcPr>
          <w:p w14:paraId="07731598" w14:textId="77777777" w:rsidR="00E840CC" w:rsidRPr="003B6B1B" w:rsidRDefault="00E840CC" w:rsidP="00720C5B">
            <w:pPr>
              <w:rPr>
                <w:rFonts w:cs="Arial"/>
              </w:rPr>
            </w:pPr>
          </w:p>
        </w:tc>
      </w:tr>
    </w:tbl>
    <w:p w14:paraId="43F2DF44" w14:textId="133B7928" w:rsidR="001B0AE2" w:rsidRPr="003B6B1B" w:rsidRDefault="001B0AE2" w:rsidP="003B6B1B">
      <w:pPr>
        <w:pStyle w:val="Body"/>
      </w:pPr>
      <w:r w:rsidRPr="003B6B1B">
        <w:t>This checklist is:</w:t>
      </w:r>
    </w:p>
    <w:p w14:paraId="576C0D3E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 xml:space="preserve">intended to assist you if/when considering purchasing or subscribing to the services of a regulatory technology business (RegTech). </w:t>
      </w:r>
    </w:p>
    <w:p w14:paraId="6744DFAF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>designed to support a risk-based approach to AML/CTF compliance and to assist legal practices to evidence that their systems and controls are effective in practice.</w:t>
      </w:r>
    </w:p>
    <w:p w14:paraId="58462672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>designed to assist practices to assess whether a RegTech solution will support the implementation, operation and evidencing of their AML/CTF program in a manner that would withstand regulatory scrutiny.</w:t>
      </w:r>
    </w:p>
    <w:p w14:paraId="163DD682" w14:textId="77777777" w:rsidR="001B0AE2" w:rsidRPr="003B6B1B" w:rsidRDefault="001B0AE2" w:rsidP="003B6B1B">
      <w:pPr>
        <w:pStyle w:val="Body"/>
      </w:pPr>
      <w:r w:rsidRPr="003B6B1B">
        <w:t xml:space="preserve">Neither AUSTRAC nor QLS endorse any specific RegTech. </w:t>
      </w:r>
    </w:p>
    <w:p w14:paraId="5D5AECB3" w14:textId="77777777" w:rsidR="001B0AE2" w:rsidRPr="003B6B1B" w:rsidRDefault="001B0AE2" w:rsidP="003B6B1B">
      <w:pPr>
        <w:pStyle w:val="Body"/>
      </w:pPr>
      <w:r w:rsidRPr="003B6B1B">
        <w:t xml:space="preserve">Prior to engaging a RegTech provider, it is important that practitioners consider the features and solutions being offered. </w:t>
      </w:r>
    </w:p>
    <w:p w14:paraId="04378711" w14:textId="77777777" w:rsidR="001B0AE2" w:rsidRPr="003B6B1B" w:rsidRDefault="001B0AE2" w:rsidP="003B6B1B">
      <w:pPr>
        <w:pStyle w:val="Body"/>
      </w:pPr>
      <w:r w:rsidRPr="003B6B1B">
        <w:t xml:space="preserve">It is not necessary for a RegTech to offer </w:t>
      </w:r>
      <w:proofErr w:type="gramStart"/>
      <w:r w:rsidRPr="003B6B1B">
        <w:t>all of</w:t>
      </w:r>
      <w:proofErr w:type="gramEnd"/>
      <w:r w:rsidRPr="003B6B1B">
        <w:t xml:space="preserve"> the options in this checklist. However, these are questions and features to consider when deciding whether a particular solution will meet your needs.  </w:t>
      </w:r>
    </w:p>
    <w:p w14:paraId="61454A33" w14:textId="77777777" w:rsidR="001B0AE2" w:rsidRPr="003B6B1B" w:rsidRDefault="001B0AE2" w:rsidP="003B6B1B">
      <w:pPr>
        <w:pStyle w:val="Body"/>
      </w:pPr>
      <w:r w:rsidRPr="003B6B1B">
        <w:t xml:space="preserve">Depending on the size, nature and complexity of your practice, you may determine a RegTech solution is not required to support your compliance. RegTech solutions are support tools only. Engagement of a RegTech provider does not discharge a reporting entity’s obligations under the AML/CTF Act. </w:t>
      </w:r>
    </w:p>
    <w:p w14:paraId="3A3C7B1E" w14:textId="77777777" w:rsidR="001B0AE2" w:rsidRDefault="001B0AE2" w:rsidP="003B6B1B">
      <w:pPr>
        <w:pStyle w:val="Body"/>
      </w:pPr>
      <w:r w:rsidRPr="003B6B1B">
        <w:t xml:space="preserve">Legal practitioners remain responsible for the design, implementation and ongoing effectiveness of their AML/CTF program, including the exercise of independent professional judgment.  </w:t>
      </w:r>
    </w:p>
    <w:p w14:paraId="5DE20972" w14:textId="77777777" w:rsidR="003B6B1B" w:rsidRPr="003B6B1B" w:rsidRDefault="003B6B1B" w:rsidP="003B6B1B">
      <w:pPr>
        <w:pStyle w:val="Body"/>
      </w:pPr>
    </w:p>
    <w:p w14:paraId="3D4BF9A7" w14:textId="77777777" w:rsidR="001B0AE2" w:rsidRPr="003B6B1B" w:rsidRDefault="001B0AE2" w:rsidP="003B6B1B">
      <w:pPr>
        <w:pStyle w:val="Heading2"/>
      </w:pPr>
      <w:r w:rsidRPr="003B6B1B">
        <w:t>Preliminary Assessment: Need for RegTech</w:t>
      </w:r>
    </w:p>
    <w:p w14:paraId="26B547A6" w14:textId="0F065753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18694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0C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have the internal resource capacity to manage CDD manually in a compliant and consistent manner, including record-keeping obligations?</w:t>
      </w:r>
    </w:p>
    <w:p w14:paraId="138A65D4" w14:textId="722F8458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39254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anticipate sufficient volume of designated services to justify implementing a RegTech solution in the next 12 months?</w:t>
      </w:r>
    </w:p>
    <w:p w14:paraId="3F71242C" w14:textId="07841BEA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0532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Are our AML/CTF obligations ongoing or intermittent in nature?</w:t>
      </w:r>
    </w:p>
    <w:p w14:paraId="728581A0" w14:textId="63C13E69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20922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require a solution that can scale up or down depending on demand?</w:t>
      </w:r>
    </w:p>
    <w:p w14:paraId="06CAC892" w14:textId="5F79EE8B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147367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Would a pay-per-use or flexible pricing model better align with our service delivery model?</w:t>
      </w:r>
    </w:p>
    <w:p w14:paraId="2C7D3CD1" w14:textId="7B574EE0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27190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Are there minimum monthly commitments or volume thresholds, and do they align with the practice's expected AML/CTF activity?</w:t>
      </w:r>
    </w:p>
    <w:p w14:paraId="5B92E51B" w14:textId="492DC124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5100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Can the practice’s existing CRM or DMS meet AML/CTF record-keeping obligations, including retention, accessibility, and auditability of CDD and risk assessment records?</w:t>
      </w:r>
    </w:p>
    <w:p w14:paraId="2D6C2C14" w14:textId="6131A903" w:rsidR="001B0AE2" w:rsidRPr="003B6B1B" w:rsidRDefault="0060577B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61028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Will a RegTech solution integrate effectively with our existing technology stack and workflows?</w:t>
      </w:r>
    </w:p>
    <w:p w14:paraId="29E3CAFE" w14:textId="1CDCE45E" w:rsidR="001B0AE2" w:rsidRPr="003B6B1B" w:rsidRDefault="0060577B" w:rsidP="003B6B1B">
      <w:pPr>
        <w:spacing w:after="24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27422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Does the practice have the budget capacity to implement and maintain a RegTech solution, and is this proportionate to the AML/CTF risk and volume of designated services?</w:t>
      </w:r>
    </w:p>
    <w:p w14:paraId="0C8E2729" w14:textId="77777777" w:rsidR="003B6B1B" w:rsidRDefault="001B0AE2" w:rsidP="001B0AE2">
      <w:pPr>
        <w:rPr>
          <w:rFonts w:cs="Arial"/>
          <w:szCs w:val="18"/>
        </w:rPr>
        <w:sectPr w:rsidR="003B6B1B" w:rsidSect="00E840CC">
          <w:footerReference w:type="default" r:id="rId8"/>
          <w:headerReference w:type="first" r:id="rId9"/>
          <w:footerReference w:type="first" r:id="rId10"/>
          <w:pgSz w:w="11906" w:h="16838"/>
          <w:pgMar w:top="1797" w:right="1440" w:bottom="1418" w:left="1440" w:header="425" w:footer="0" w:gutter="0"/>
          <w:cols w:space="708"/>
          <w:titlePg/>
          <w:docGrid w:linePitch="360"/>
        </w:sectPr>
      </w:pPr>
      <w:r w:rsidRPr="003B6B1B">
        <w:rPr>
          <w:rFonts w:cs="Arial"/>
          <w:szCs w:val="18"/>
        </w:rPr>
        <w:t>If a RegTech solution is not adopted, how will the practice ensure AML/CTF compliance is achieved, documented and supervised?</w:t>
      </w:r>
    </w:p>
    <w:p w14:paraId="22EF2FF1" w14:textId="77777777" w:rsidR="001B0AE2" w:rsidRPr="003B6B1B" w:rsidRDefault="001B0AE2" w:rsidP="001B0AE2">
      <w:pPr>
        <w:rPr>
          <w:rFonts w:cs="Arial"/>
          <w:szCs w:val="18"/>
        </w:rPr>
      </w:pPr>
    </w:p>
    <w:p w14:paraId="4D0EF6D5" w14:textId="77777777" w:rsidR="001B0AE2" w:rsidRPr="003B6B1B" w:rsidRDefault="001B0AE2" w:rsidP="003B6B1B">
      <w:pPr>
        <w:pStyle w:val="Heading2"/>
      </w:pPr>
      <w:r w:rsidRPr="003B6B1B">
        <w:lastRenderedPageBreak/>
        <w:t xml:space="preserve">Before engaging RegTech </w:t>
      </w:r>
    </w:p>
    <w:p w14:paraId="522031C1" w14:textId="77777777" w:rsidR="001B0AE2" w:rsidRPr="003B6B1B" w:rsidRDefault="001B0AE2" w:rsidP="003B6B1B">
      <w:pPr>
        <w:pStyle w:val="Body"/>
      </w:pPr>
      <w:r w:rsidRPr="003B6B1B">
        <w:t>Law practices may choose to engage RegTech to support compliance with AML/CTF obligations, such as client verification, ML/TF risk assessment and transaction monitoring/reporting. The practice must be able to demonstrate that it does not rely solely on the RegTech provider for compliance outcomes. The practice remains responsible for:</w:t>
      </w:r>
    </w:p>
    <w:p w14:paraId="382193ED" w14:textId="77777777" w:rsidR="001B0AE2" w:rsidRPr="003B6B1B" w:rsidRDefault="001B0AE2" w:rsidP="00822DA9">
      <w:pPr>
        <w:pStyle w:val="Body"/>
        <w:numPr>
          <w:ilvl w:val="0"/>
          <w:numId w:val="8"/>
        </w:numPr>
      </w:pPr>
      <w:r w:rsidRPr="003B6B1B">
        <w:t>Verifying the accuracy of outputs</w:t>
      </w:r>
    </w:p>
    <w:p w14:paraId="7B34CAA1" w14:textId="77777777" w:rsidR="001B0AE2" w:rsidRPr="003B6B1B" w:rsidRDefault="001B0AE2" w:rsidP="00822DA9">
      <w:pPr>
        <w:pStyle w:val="Body"/>
        <w:numPr>
          <w:ilvl w:val="0"/>
          <w:numId w:val="8"/>
        </w:numPr>
      </w:pPr>
      <w:r w:rsidRPr="003B6B1B">
        <w:t>Exercising independent professional judgment</w:t>
      </w:r>
    </w:p>
    <w:p w14:paraId="334E7308" w14:textId="77777777" w:rsidR="001B0AE2" w:rsidRDefault="001B0AE2" w:rsidP="00822DA9">
      <w:pPr>
        <w:pStyle w:val="Body"/>
        <w:numPr>
          <w:ilvl w:val="0"/>
          <w:numId w:val="8"/>
        </w:numPr>
      </w:pPr>
      <w:r w:rsidRPr="003B6B1B">
        <w:t>Ensuring AML/CTF obligations are met in each matter</w:t>
      </w:r>
    </w:p>
    <w:p w14:paraId="60B863E3" w14:textId="77777777" w:rsidR="003B6B1B" w:rsidRPr="003B6B1B" w:rsidRDefault="003B6B1B" w:rsidP="003B6B1B">
      <w:pPr>
        <w:pStyle w:val="Body"/>
      </w:pPr>
    </w:p>
    <w:p w14:paraId="639FCD26" w14:textId="77777777" w:rsidR="001B0AE2" w:rsidRPr="003B6B1B" w:rsidRDefault="001B0AE2" w:rsidP="003B6B1B">
      <w:pPr>
        <w:pStyle w:val="Heading2"/>
      </w:pPr>
      <w:r w:rsidRPr="003B6B1B">
        <w:t>Scope of Use (Designated Services)</w:t>
      </w:r>
    </w:p>
    <w:p w14:paraId="048E2371" w14:textId="13AB04A0" w:rsidR="001B0AE2" w:rsidRPr="003B6B1B" w:rsidRDefault="0060577B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355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>Can the system distinguish between designated and non-designated services?</w:t>
      </w:r>
    </w:p>
    <w:p w14:paraId="5BF26A75" w14:textId="41988820" w:rsidR="001B0AE2" w:rsidRPr="003B6B1B" w:rsidRDefault="0060577B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465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>Can AML/CTF processes be triggered only when required having regard to the type of legal service being provided (to avoid over-compliance or inappropriate application)?</w:t>
      </w:r>
    </w:p>
    <w:p w14:paraId="7DEB047C" w14:textId="72A86787" w:rsidR="001B0AE2" w:rsidRPr="003B6B1B" w:rsidRDefault="0060577B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192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 xml:space="preserve">Does the system allow different workflows depending on the nature of the matter (e.g. transactional vs advisory work)? </w:t>
      </w:r>
    </w:p>
    <w:p w14:paraId="3C17FE29" w14:textId="22DD2F2A" w:rsidR="001B0AE2" w:rsidRPr="003B6B1B" w:rsidRDefault="0060577B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-2462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>Practitioners should consider* whether the provider, and how the practice will supervise and validate the provider’s outputs:</w:t>
      </w:r>
    </w:p>
    <w:p w14:paraId="7F7E4122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understands the AML/CTF framework as it applies to legal services</w:t>
      </w:r>
    </w:p>
    <w:p w14:paraId="2995B82E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demonstrates capability and suitability and is familiar with the operational requirements of legal practices and risks specific to the legal sector</w:t>
      </w:r>
    </w:p>
    <w:p w14:paraId="6FC775E1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can explain whether the solution will integrate with your existing practice management system</w:t>
      </w:r>
    </w:p>
    <w:p w14:paraId="52022948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clearly explains the tool’s purpose, scope and compliance coverage</w:t>
      </w:r>
    </w:p>
    <w:p w14:paraId="37F68267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is designed for or properly adapted for the Australian jurisdiction</w:t>
      </w:r>
    </w:p>
    <w:p w14:paraId="06F57BB1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 xml:space="preserve">the extent to which it reflects guidance issued by AUSTRAC in the </w:t>
      </w:r>
      <w:hyperlink r:id="rId11">
        <w:r w:rsidRPr="003B6B1B">
          <w:rPr>
            <w:rStyle w:val="Hyperlink"/>
          </w:rPr>
          <w:t>Legal profession program starter kit</w:t>
        </w:r>
      </w:hyperlink>
    </w:p>
    <w:p w14:paraId="1296F9B7" w14:textId="77777777" w:rsidR="001B0AE2" w:rsidRPr="003B6B1B" w:rsidRDefault="001B0AE2" w:rsidP="00822DA9">
      <w:pPr>
        <w:pStyle w:val="Body"/>
        <w:numPr>
          <w:ilvl w:val="0"/>
          <w:numId w:val="9"/>
        </w:numPr>
        <w:ind w:left="851" w:hanging="284"/>
      </w:pPr>
      <w:r w:rsidRPr="003B6B1B">
        <w:t>provides continuous support, training and updates.</w:t>
      </w:r>
    </w:p>
    <w:p w14:paraId="44F68EBD" w14:textId="48B4B535" w:rsidR="001B0AE2" w:rsidRPr="003B6B1B" w:rsidRDefault="0060577B" w:rsidP="003B6B1B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798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rPr>
          <w:rFonts w:eastAsia="Aptos"/>
          <w:lang w:val="en-US"/>
        </w:rPr>
        <w:t>Allows</w:t>
      </w:r>
      <w:r w:rsidR="001B0AE2" w:rsidRPr="003B6B1B">
        <w:rPr>
          <w:rFonts w:eastAsia="Arial"/>
        </w:rPr>
        <w:t xml:space="preserve"> human oversight, including the ability to:</w:t>
      </w:r>
    </w:p>
    <w:p w14:paraId="41CEB769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Review and interrogate system outputs</w:t>
      </w:r>
    </w:p>
    <w:p w14:paraId="325F0D50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Override automated decisions where appropriate</w:t>
      </w:r>
    </w:p>
    <w:p w14:paraId="038E8B8F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Record reasons for overrides</w:t>
      </w:r>
    </w:p>
    <w:p w14:paraId="0E8CAA18" w14:textId="77777777" w:rsidR="001B0AE2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Identify patterns of override behaviour for review</w:t>
      </w:r>
    </w:p>
    <w:p w14:paraId="0F02DD56" w14:textId="77777777" w:rsidR="003B6B1B" w:rsidRPr="003B6B1B" w:rsidRDefault="003B6B1B" w:rsidP="003B6B1B">
      <w:pPr>
        <w:pStyle w:val="Body"/>
      </w:pPr>
    </w:p>
    <w:p w14:paraId="45661696" w14:textId="77777777" w:rsidR="001B0AE2" w:rsidRPr="003B6B1B" w:rsidRDefault="001B0AE2" w:rsidP="003B6B1B">
      <w:pPr>
        <w:pStyle w:val="Heading2"/>
      </w:pPr>
      <w:r w:rsidRPr="003B6B1B">
        <w:t xml:space="preserve">RegTech Details 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1B0AE2" w:rsidRPr="003B6B1B" w14:paraId="02466095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7B8CEFE2" w14:textId="7F6DD51B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Name of Provide</w:t>
            </w:r>
            <w:r w:rsidR="003B6B1B">
              <w:rPr>
                <w:rFonts w:cs="Arial"/>
                <w:szCs w:val="18"/>
              </w:rPr>
              <w:t>r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  <w:shd w:val="clear" w:color="auto" w:fill="F2F2F2" w:themeFill="background1" w:themeFillShade="F2"/>
              </w:rPr>
              <w:id w:val="1576246383"/>
              <w:placeholder>
                <w:docPart w:val="C2AFD425A6614F75A67F0647F43164B6"/>
              </w:placeholder>
            </w:sdtPr>
            <w:sdtEndPr/>
            <w:sdtContent>
              <w:sdt>
                <w:sdtPr>
                  <w:rPr>
                    <w:rFonts w:cs="Arial"/>
                    <w:szCs w:val="18"/>
                  </w:rPr>
                  <w:id w:val="-176972286"/>
                  <w:placeholder>
                    <w:docPart w:val="859E094FFBF04B7EBC193968925B1F14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Cs w:val="18"/>
                      </w:rPr>
                      <w:id w:val="1936321390"/>
                      <w:placeholder>
                        <w:docPart w:val="223F100F9619422DB022B3FA0BF9FD66"/>
                      </w:placeholder>
                      <w:showingPlcHdr/>
                    </w:sdtPr>
                    <w:sdtEndPr/>
                    <w:sdtContent>
                      <w:p w14:paraId="4DFD1CCA" w14:textId="2D3F42F1" w:rsidR="001B0AE2" w:rsidRPr="003B6B1B" w:rsidRDefault="003B6B1B" w:rsidP="003B6B1B">
                        <w:pPr>
                          <w:shd w:val="clear" w:color="auto" w:fill="F2F2F2" w:themeFill="background1" w:themeFillShade="F2"/>
                          <w:ind w:left="720" w:hanging="720"/>
                          <w:rPr>
                            <w:rFonts w:cs="Arial"/>
                            <w:szCs w:val="18"/>
                          </w:rPr>
                        </w:pPr>
                        <w:r w:rsidRPr="005F6975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B0AE2" w:rsidRPr="003B6B1B" w14:paraId="09B4ED8C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05799479" w14:textId="33956EE3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Year established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860729767"/>
              <w:placeholder>
                <w:docPart w:val="BE831487573A44D792CD8B9D13D77932"/>
              </w:placeholder>
              <w:showingPlcHdr/>
            </w:sdtPr>
            <w:sdtEndPr/>
            <w:sdtContent>
              <w:p w14:paraId="041DE3B3" w14:textId="1707236E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0AE2" w:rsidRPr="003B6B1B" w14:paraId="15B0963B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7BC0B972" w14:textId="06CBBA88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Country of origin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2032396905"/>
              <w:placeholder>
                <w:docPart w:val="8D7EB29DB6E14911975AD79213EFD05B"/>
              </w:placeholder>
              <w:showingPlcHdr/>
            </w:sdtPr>
            <w:sdtEndPr/>
            <w:sdtContent>
              <w:p w14:paraId="63E2FA7E" w14:textId="533FA963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0AE2" w:rsidRPr="003B6B1B" w14:paraId="12D2D663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328022D6" w14:textId="77777777" w:rsidR="001B0AE2" w:rsidRPr="003B6B1B" w:rsidRDefault="001B0AE2" w:rsidP="003B6B1B">
            <w:pPr>
              <w:ind w:left="-111"/>
              <w:jc w:val="center"/>
              <w:rPr>
                <w:rFonts w:cs="Arial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074040443"/>
              <w:placeholder>
                <w:docPart w:val="D3156D4C98D842DD90CA8074914A4B0E"/>
              </w:placeholder>
              <w:showingPlcHdr/>
            </w:sdtPr>
            <w:sdtEndPr/>
            <w:sdtContent>
              <w:p w14:paraId="40F1AEFC" w14:textId="65264E80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30C0158" w14:textId="77777777" w:rsidR="003B6B1B" w:rsidRDefault="001B0AE2" w:rsidP="003B6B1B">
      <w:pPr>
        <w:spacing w:before="240"/>
        <w:rPr>
          <w:rFonts w:cs="Arial"/>
          <w:szCs w:val="18"/>
        </w:rPr>
      </w:pPr>
      <w:r w:rsidRPr="003B6B1B">
        <w:rPr>
          <w:rFonts w:cs="Arial"/>
          <w:szCs w:val="18"/>
        </w:rPr>
        <w:t xml:space="preserve">*Adapted from </w:t>
      </w:r>
      <w:hyperlink r:id="rId12" w:history="1">
        <w:r w:rsidRPr="003B6B1B">
          <w:rPr>
            <w:rFonts w:cs="Arial"/>
            <w:color w:val="0000FF"/>
            <w:szCs w:val="18"/>
            <w:u w:val="single"/>
          </w:rPr>
          <w:t>RegTechs | AUSTRAC</w:t>
        </w:r>
      </w:hyperlink>
    </w:p>
    <w:p w14:paraId="54B051AF" w14:textId="77777777" w:rsidR="00BD31EE" w:rsidRDefault="00BD31EE" w:rsidP="003B6B1B">
      <w:pPr>
        <w:pStyle w:val="Heading2"/>
      </w:pPr>
    </w:p>
    <w:p w14:paraId="40815E48" w14:textId="1AE4C042" w:rsidR="001B0AE2" w:rsidRPr="003B6B1B" w:rsidRDefault="001B0AE2" w:rsidP="003B6B1B">
      <w:pPr>
        <w:pStyle w:val="Heading2"/>
        <w:rPr>
          <w:rFonts w:cs="Arial"/>
          <w:color w:val="auto"/>
          <w:sz w:val="18"/>
          <w:szCs w:val="18"/>
        </w:rPr>
      </w:pPr>
      <w:r w:rsidRPr="003B6B1B">
        <w:t xml:space="preserve">Onboarding </w:t>
      </w:r>
    </w:p>
    <w:p w14:paraId="3E0ACFEA" w14:textId="77777777" w:rsidR="001B0AE2" w:rsidRPr="00BD31EE" w:rsidRDefault="001B0AE2" w:rsidP="00BD31EE">
      <w:pPr>
        <w:pStyle w:val="Heading3"/>
      </w:pPr>
      <w:r w:rsidRPr="00BD31EE">
        <w:t xml:space="preserve">Training and Support  </w:t>
      </w:r>
    </w:p>
    <w:p w14:paraId="3FD72318" w14:textId="539F6D95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9608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provider’s service include initial onboarding assistance? </w:t>
      </w:r>
    </w:p>
    <w:p w14:paraId="3B6A1674" w14:textId="263BBF1A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7159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Is support offered locally or otherwise?  </w:t>
      </w:r>
    </w:p>
    <w:p w14:paraId="6FEC2599" w14:textId="5D1F1758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9981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can staff at varying levels be trained to use and understand the system?</w:t>
      </w:r>
    </w:p>
    <w:p w14:paraId="516B4708" w14:textId="0CCF6F14" w:rsidR="001B0AE2" w:rsidRPr="003B6B1B" w:rsidRDefault="0060577B" w:rsidP="00BD31EE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-8870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maintain open communication channels, providing regular updates and support?  </w:t>
      </w:r>
    </w:p>
    <w:p w14:paraId="1B90DFD7" w14:textId="77777777" w:rsidR="001B0AE2" w:rsidRPr="00BD31EE" w:rsidRDefault="001B0AE2" w:rsidP="00BD31EE">
      <w:pPr>
        <w:pStyle w:val="Heading3"/>
      </w:pPr>
      <w:r w:rsidRPr="00BD31EE">
        <w:t>Platforms</w:t>
      </w:r>
    </w:p>
    <w:p w14:paraId="1FE7FE18" w14:textId="2BDBA432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1925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RegTech system integrate with the practice’s existing case management systems?</w:t>
      </w:r>
    </w:p>
    <w:p w14:paraId="220BA108" w14:textId="3350550D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7914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it accessed through an app?</w:t>
      </w:r>
    </w:p>
    <w:p w14:paraId="332D803B" w14:textId="0CE4F928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125388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it accessed through a client portal?</w:t>
      </w:r>
    </w:p>
    <w:p w14:paraId="739D267B" w14:textId="4737316C" w:rsidR="001B0AE2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79447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there off-line access (i.e. if internet connection is lost?)</w:t>
      </w:r>
    </w:p>
    <w:p w14:paraId="4D9FFFA7" w14:textId="77777777" w:rsidR="00BD31EE" w:rsidRPr="003B6B1B" w:rsidRDefault="00BD31EE" w:rsidP="00BD31EE">
      <w:pPr>
        <w:pStyle w:val="Body"/>
        <w:ind w:left="567" w:hanging="567"/>
      </w:pPr>
    </w:p>
    <w:p w14:paraId="6EDA2EB9" w14:textId="77777777" w:rsidR="001B0AE2" w:rsidRPr="003B6B1B" w:rsidRDefault="001B0AE2" w:rsidP="00BD31EE">
      <w:pPr>
        <w:pStyle w:val="Heading2"/>
      </w:pPr>
      <w:r w:rsidRPr="003B6B1B">
        <w:t xml:space="preserve">Suitability Requirements </w:t>
      </w:r>
    </w:p>
    <w:p w14:paraId="433F5ABB" w14:textId="77777777" w:rsidR="001B0AE2" w:rsidRPr="00BD31EE" w:rsidRDefault="001B0AE2" w:rsidP="00BD31EE">
      <w:pPr>
        <w:pStyle w:val="Heading3"/>
      </w:pPr>
      <w:r w:rsidRPr="00BD31EE">
        <w:t xml:space="preserve">Compliance with Australia’s AML/CTF Regime  </w:t>
      </w:r>
    </w:p>
    <w:p w14:paraId="70888495" w14:textId="2B6FD76C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7648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Is the provider compliant with the Australian AML/CTF framework, including Tranche 2 for professional services obligations commencing from 1 July 2026? </w:t>
      </w:r>
    </w:p>
    <w:p w14:paraId="4053415D" w14:textId="7CA8263E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6931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account for standard and enhanced Customer Due Diligence (CDD)? </w:t>
      </w:r>
    </w:p>
    <w:p w14:paraId="54FF62BA" w14:textId="59D01AD3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9981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provider enable ongoing monitoring and suspicious matter reports (SMRs)?</w:t>
      </w:r>
    </w:p>
    <w:p w14:paraId="647B6085" w14:textId="1FA1E5B3" w:rsidR="001B0AE2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45309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assist with personnel due diligence, to assess the skills, knowledge, expertise and integrity of personnel you employ or engage to conduct AML/CTF functions? </w:t>
      </w:r>
    </w:p>
    <w:p w14:paraId="6AF65908" w14:textId="77777777" w:rsidR="00BD31EE" w:rsidRPr="003B6B1B" w:rsidRDefault="00BD31EE" w:rsidP="003B6B1B">
      <w:pPr>
        <w:pStyle w:val="Body"/>
      </w:pPr>
    </w:p>
    <w:p w14:paraId="6C32BE2F" w14:textId="77777777" w:rsidR="001B0AE2" w:rsidRPr="003B6B1B" w:rsidRDefault="001B0AE2" w:rsidP="00BD31EE">
      <w:pPr>
        <w:pStyle w:val="Heading2"/>
      </w:pPr>
      <w:r w:rsidRPr="003B6B1B">
        <w:t>Functionality Requirements</w:t>
      </w:r>
    </w:p>
    <w:p w14:paraId="71B6F22E" w14:textId="77777777" w:rsidR="001B0AE2" w:rsidRPr="003B6B1B" w:rsidRDefault="001B0AE2" w:rsidP="003B6B1B">
      <w:pPr>
        <w:pStyle w:val="Body"/>
      </w:pPr>
      <w:r w:rsidRPr="003B6B1B">
        <w:t xml:space="preserve">Different providers will offer different functionality requirements – not all will offer the full suite that will cover </w:t>
      </w:r>
      <w:proofErr w:type="gramStart"/>
      <w:r w:rsidRPr="003B6B1B">
        <w:t>all of</w:t>
      </w:r>
      <w:proofErr w:type="gramEnd"/>
      <w:r w:rsidRPr="003B6B1B">
        <w:t xml:space="preserve"> your AML compliance obligations. Practitioners should make their own enquiries in this </w:t>
      </w:r>
      <w:r w:rsidRPr="003B6B1B">
        <w:rPr>
          <w:rFonts w:eastAsiaTheme="minorEastAsia"/>
        </w:rPr>
        <w:t xml:space="preserve">regard. Some aspects (not exhaustive) could include the following: </w:t>
      </w:r>
    </w:p>
    <w:p w14:paraId="1275B823" w14:textId="017D5DF3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7649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system support the practitioner to make, record and justify decisions that are reasonable in the circumstances, having regard to the level of ML/TF risk?</w:t>
      </w:r>
    </w:p>
    <w:p w14:paraId="42F784E1" w14:textId="77777777" w:rsidR="00BD31EE" w:rsidRDefault="00BD31EE">
      <w:pPr>
        <w:spacing w:after="0"/>
        <w:rPr>
          <w:rFonts w:eastAsia="Arial"/>
          <w:b/>
          <w:bCs/>
          <w:color w:val="0F2D52"/>
          <w:sz w:val="22"/>
          <w:szCs w:val="26"/>
          <w:lang w:val="en-US"/>
        </w:rPr>
      </w:pPr>
      <w:r>
        <w:rPr>
          <w:rFonts w:eastAsia="Arial"/>
        </w:rPr>
        <w:br w:type="page"/>
      </w:r>
    </w:p>
    <w:p w14:paraId="4925E012" w14:textId="53B43239" w:rsidR="001B0AE2" w:rsidRPr="003B6B1B" w:rsidRDefault="001B0AE2" w:rsidP="00BD31EE">
      <w:pPr>
        <w:pStyle w:val="Heading3"/>
        <w:rPr>
          <w:rFonts w:eastAsia="Arial"/>
        </w:rPr>
      </w:pPr>
      <w:r w:rsidRPr="003B6B1B">
        <w:rPr>
          <w:rFonts w:eastAsia="Arial"/>
        </w:rPr>
        <w:lastRenderedPageBreak/>
        <w:t>Audit Evidence &amp; File Output (Critical Compliance Requirement)</w:t>
      </w:r>
    </w:p>
    <w:p w14:paraId="4D11E5B6" w14:textId="77777777" w:rsidR="001B0AE2" w:rsidRPr="003B6B1B" w:rsidRDefault="001B0AE2" w:rsidP="003B6B1B">
      <w:pPr>
        <w:pStyle w:val="Body"/>
        <w:rPr>
          <w:rFonts w:eastAsia="Arial"/>
        </w:rPr>
      </w:pPr>
      <w:r w:rsidRPr="003B6B1B">
        <w:rPr>
          <w:rFonts w:eastAsia="Arial"/>
        </w:rPr>
        <w:t>In addition to functionality, practitioners should consider whether the RegTech enables the practice to demonstrate compliance in the event of an audit and produce clear, contemporaneous records of decision-making.</w:t>
      </w:r>
    </w:p>
    <w:p w14:paraId="42A6426C" w14:textId="12DFAA12" w:rsidR="001B0AE2" w:rsidRPr="003B6B1B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52756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system produce a complete file-level AML/CTF record, including:</w:t>
      </w:r>
    </w:p>
    <w:p w14:paraId="7F4EF1C3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Client identification and verification steps undertaken</w:t>
      </w:r>
    </w:p>
    <w:p w14:paraId="129DBF74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Risk assessment outcomes AND the rationale for those outcomes</w:t>
      </w:r>
    </w:p>
    <w:p w14:paraId="48C67120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Records of ongoing monitoring</w:t>
      </w:r>
    </w:p>
    <w:p w14:paraId="7FEEA400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Decisions made (including why enhanced CDD was or was not applied)</w:t>
      </w:r>
    </w:p>
    <w:p w14:paraId="011689DE" w14:textId="298C2A44" w:rsidR="001B0AE2" w:rsidRPr="003B6B1B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97464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maintain an auditable log of:</w:t>
      </w:r>
    </w:p>
    <w:p w14:paraId="58B3B27C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User activity</w:t>
      </w:r>
    </w:p>
    <w:p w14:paraId="00D318AB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Changes to risk profiles</w:t>
      </w:r>
    </w:p>
    <w:p w14:paraId="3D65F9FD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Overrides or manual decisions</w:t>
      </w:r>
    </w:p>
    <w:p w14:paraId="0C343CA6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Timestamps of key actions</w:t>
      </w:r>
    </w:p>
    <w:p w14:paraId="4B077429" w14:textId="28B2016E" w:rsidR="001B0AE2" w:rsidRPr="003B6B1B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54910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this information be exported in clear and usable format within a reasonable time frame (e.g. for AUSTRAC audit requests)?</w:t>
      </w:r>
    </w:p>
    <w:p w14:paraId="78002A26" w14:textId="4FEDAC5B" w:rsidR="001B0AE2" w:rsidRPr="003B6B1B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25249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support consistent file-level workflows to ensure AML/CTF steps are completed before legal services commence?</w:t>
      </w:r>
    </w:p>
    <w:p w14:paraId="395DEB2B" w14:textId="6BF9FF44" w:rsidR="001B0AE2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02445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the system demonstrate when AML/CTF steps were completed relative to the commencement of legal services?</w:t>
      </w:r>
    </w:p>
    <w:p w14:paraId="78D5F03D" w14:textId="77777777" w:rsidR="00BD31EE" w:rsidRPr="003B6B1B" w:rsidRDefault="00BD31EE" w:rsidP="00BD31EE">
      <w:pPr>
        <w:pStyle w:val="Body"/>
        <w:ind w:left="567" w:hanging="567"/>
      </w:pPr>
    </w:p>
    <w:p w14:paraId="631391BB" w14:textId="77777777" w:rsidR="001B0AE2" w:rsidRPr="003B6B1B" w:rsidRDefault="001B0AE2" w:rsidP="00BD31EE">
      <w:pPr>
        <w:pStyle w:val="Heading2"/>
      </w:pPr>
      <w:r w:rsidRPr="003B6B1B">
        <w:t>Independent Evaluation Readiness</w:t>
      </w:r>
    </w:p>
    <w:p w14:paraId="00CAAD39" w14:textId="7EFFAC9D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81996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system outputs and records be reviewed independently (e.g. by an external auditor or reviewer)?</w:t>
      </w:r>
    </w:p>
    <w:p w14:paraId="699E5CFE" w14:textId="7EF7AEF3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1071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system provide sufficient transparency to support independent evaluation of AML/CTF compliance?</w:t>
      </w:r>
    </w:p>
    <w:p w14:paraId="7B625ECD" w14:textId="77777777" w:rsidR="001B0AE2" w:rsidRPr="003B6B1B" w:rsidRDefault="001B0AE2" w:rsidP="00BD31EE">
      <w:pPr>
        <w:pStyle w:val="Heading3"/>
      </w:pPr>
      <w:r w:rsidRPr="003B6B1B">
        <w:t xml:space="preserve">Client Identity Verification  </w:t>
      </w:r>
    </w:p>
    <w:p w14:paraId="07DBD935" w14:textId="22349601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63229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onboard clients?</w:t>
      </w:r>
    </w:p>
    <w:p w14:paraId="18288E1D" w14:textId="56BCC092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29980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verify client identity?</w:t>
      </w:r>
    </w:p>
    <w:p w14:paraId="66E0A96D" w14:textId="73E296B6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12036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Can the provider verify the authenticity of documents? </w:t>
      </w:r>
    </w:p>
    <w:p w14:paraId="53D0B1F5" w14:textId="4425A974" w:rsidR="001B0AE2" w:rsidRPr="003B6B1B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43025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record how verification was conducted (e.g. source, method, date and outcome)?</w:t>
      </w:r>
    </w:p>
    <w:p w14:paraId="4A1EC1BB" w14:textId="566B6C98" w:rsidR="001B0AE2" w:rsidRPr="00BD31EE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5744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practitioner demonstrate what verification steps were undertaken, what information was relied upon, and why that reliance was reasonable in the circumstances?</w:t>
      </w:r>
    </w:p>
    <w:p w14:paraId="2E782E92" w14:textId="77777777" w:rsidR="00995717" w:rsidRDefault="00995717">
      <w:pPr>
        <w:spacing w:after="0"/>
        <w:rPr>
          <w:b/>
          <w:bCs/>
          <w:color w:val="0F2D52"/>
          <w:sz w:val="22"/>
          <w:szCs w:val="26"/>
          <w:lang w:val="en-US"/>
        </w:rPr>
      </w:pPr>
      <w:r>
        <w:br w:type="page"/>
      </w:r>
    </w:p>
    <w:p w14:paraId="18FB11AE" w14:textId="44DEB2A5" w:rsidR="001B0AE2" w:rsidRPr="003B6B1B" w:rsidRDefault="001B0AE2" w:rsidP="00BD31EE">
      <w:pPr>
        <w:pStyle w:val="Heading3"/>
      </w:pPr>
      <w:r w:rsidRPr="003B6B1B">
        <w:lastRenderedPageBreak/>
        <w:t xml:space="preserve">Risk Assessment </w:t>
      </w:r>
    </w:p>
    <w:p w14:paraId="72E20584" w14:textId="620F92E3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87689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BD31EE" w:rsidRPr="003B6B1B">
        <w:t xml:space="preserve"> </w:t>
      </w:r>
      <w:r w:rsidR="001B0AE2" w:rsidRPr="003B6B1B">
        <w:t xml:space="preserve">Does the provider offer automated client risk assessments and clearly explain the basis and reasoning for those assessments? </w:t>
      </w:r>
    </w:p>
    <w:p w14:paraId="63FA99D4" w14:textId="1D89D51F" w:rsidR="001B0AE2" w:rsidRPr="003B6B1B" w:rsidRDefault="0060577B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80781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rationale of the provider’s client risk assessments align with AUSTRAC guidance and support a risk-based approach tailored to the legal profession? </w:t>
      </w:r>
    </w:p>
    <w:p w14:paraId="1FEC440B" w14:textId="5A2D790D" w:rsidR="001B0AE2" w:rsidRPr="003B6B1B" w:rsidRDefault="0060577B" w:rsidP="00BD31EE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12517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How does the provider assess the presence of sanctions or politically exposed persons (PEPs)? </w:t>
      </w:r>
    </w:p>
    <w:p w14:paraId="4B604B35" w14:textId="56BE3614" w:rsidR="001B0AE2" w:rsidRPr="00BD31EE" w:rsidRDefault="0060577B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8292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practitioner review and adjust risk ratings where appropriate, with reasons recorded?</w:t>
      </w:r>
    </w:p>
    <w:p w14:paraId="483202AD" w14:textId="77777777" w:rsidR="001B0AE2" w:rsidRPr="003B6B1B" w:rsidRDefault="001B0AE2" w:rsidP="00BD31EE">
      <w:pPr>
        <w:pStyle w:val="Heading3"/>
      </w:pPr>
      <w:r w:rsidRPr="003B6B1B">
        <w:t xml:space="preserve">Suspicious Activity </w:t>
      </w:r>
    </w:p>
    <w:p w14:paraId="419D7932" w14:textId="4B4D6152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0795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the provider alert users to suspicious activity in real time?</w:t>
      </w:r>
    </w:p>
    <w:p w14:paraId="513F3E8B" w14:textId="729B5BA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79835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determine the threshold for what constitutes suspicious activity?</w:t>
      </w:r>
    </w:p>
    <w:p w14:paraId="024F2A00" w14:textId="7DEF0C77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2701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assist in identifying suspicious matters without removing the need for independent professional judgment?</w:t>
      </w:r>
    </w:p>
    <w:p w14:paraId="320AEAC3" w14:textId="17B460B7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45753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Can the system document the reasoning process leading to a decision to submit (or not submit an SMR)?</w:t>
      </w:r>
    </w:p>
    <w:p w14:paraId="67DD0D7C" w14:textId="2BF95811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80396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system avoid over-reporting or defensive SMR generation that could indicate poor calibration of risk thresholds?</w:t>
      </w:r>
    </w:p>
    <w:p w14:paraId="265B4C4E" w14:textId="77777777" w:rsidR="001B0AE2" w:rsidRPr="003B6B1B" w:rsidRDefault="001B0AE2" w:rsidP="00253EDC">
      <w:pPr>
        <w:pStyle w:val="Heading3"/>
        <w:rPr>
          <w:rFonts w:eastAsia="Arial"/>
          <w:sz w:val="28"/>
          <w:szCs w:val="28"/>
        </w:rPr>
      </w:pPr>
      <w:r w:rsidRPr="003B6B1B">
        <w:t>Red Flags and Escalation</w:t>
      </w:r>
    </w:p>
    <w:p w14:paraId="178B0249" w14:textId="27F3CB26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85048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Does the system assist in identifying and recording red flags (even where they do not meet the threshold for an SMR)?</w:t>
      </w:r>
    </w:p>
    <w:p w14:paraId="4AE37BF7" w14:textId="719EB1E5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5328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Can red flags be escalated internally and tracked to resolution?</w:t>
      </w:r>
    </w:p>
    <w:p w14:paraId="14179D95" w14:textId="29D6928B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3346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Does the system record decisions where no SMR is made despite identified concerns?</w:t>
      </w:r>
    </w:p>
    <w:p w14:paraId="6905115A" w14:textId="77777777" w:rsidR="001B0AE2" w:rsidRPr="003B6B1B" w:rsidRDefault="001B0AE2" w:rsidP="00253EDC">
      <w:pPr>
        <w:pStyle w:val="Heading3"/>
      </w:pPr>
      <w:r w:rsidRPr="003B6B1B">
        <w:t xml:space="preserve">Relevant Resources </w:t>
      </w:r>
    </w:p>
    <w:p w14:paraId="02779AB1" w14:textId="44FBA3F6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3168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What registries, databases and other resources does the provider gain information from?</w:t>
      </w:r>
    </w:p>
    <w:p w14:paraId="4176287B" w14:textId="6778C951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 xml:space="preserve">Are those resources kept up to date in real time? </w:t>
      </w:r>
    </w:p>
    <w:p w14:paraId="6785C6B0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BDD6EE" w:themeColor="accent1" w:themeTint="66"/>
        </w:rPr>
      </w:pPr>
    </w:p>
    <w:p w14:paraId="6CFBC8A8" w14:textId="77777777" w:rsidR="001B0AE2" w:rsidRPr="003B6B1B" w:rsidRDefault="001B0AE2" w:rsidP="00253EDC">
      <w:pPr>
        <w:pStyle w:val="Heading2"/>
      </w:pPr>
      <w:r w:rsidRPr="003B6B1B">
        <w:t xml:space="preserve">Ongoing Functionality  </w:t>
      </w:r>
    </w:p>
    <w:p w14:paraId="124DBAF0" w14:textId="77777777" w:rsidR="001B0AE2" w:rsidRPr="003B6B1B" w:rsidRDefault="001B0AE2" w:rsidP="00253EDC">
      <w:pPr>
        <w:pStyle w:val="Heading3"/>
      </w:pPr>
      <w:r w:rsidRPr="003B6B1B">
        <w:t xml:space="preserve">Continuous Monitoring </w:t>
      </w:r>
    </w:p>
    <w:p w14:paraId="4B093DDD" w14:textId="0F665726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27300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support continuous monitoring of transactions and client risk profiles should they change? </w:t>
      </w:r>
    </w:p>
    <w:p w14:paraId="3C97155C" w14:textId="4B515E7C" w:rsidR="001B0AE2" w:rsidRPr="003B6B1B" w:rsidRDefault="0060577B" w:rsidP="00253EDC">
      <w:pPr>
        <w:pStyle w:val="Body"/>
        <w:ind w:left="567" w:hanging="567"/>
        <w:rPr>
          <w:b/>
          <w:bCs/>
          <w:color w:val="44546A" w:themeColor="text2"/>
        </w:rPr>
      </w:pPr>
      <w:sdt>
        <w:sdtPr>
          <w:rPr>
            <w:sz w:val="28"/>
            <w:szCs w:val="28"/>
          </w:rPr>
          <w:id w:val="-46126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How does the provider flag suspicious activity or other ML/TF triggers?</w:t>
      </w:r>
    </w:p>
    <w:p w14:paraId="0E7C36CE" w14:textId="77777777" w:rsidR="00995717" w:rsidRDefault="00995717">
      <w:pPr>
        <w:spacing w:after="0"/>
        <w:rPr>
          <w:b/>
          <w:bCs/>
          <w:color w:val="0F2D52"/>
          <w:sz w:val="22"/>
          <w:szCs w:val="26"/>
          <w:lang w:val="en-US"/>
        </w:rPr>
      </w:pPr>
      <w:r>
        <w:br w:type="page"/>
      </w:r>
    </w:p>
    <w:p w14:paraId="0B1B4E9B" w14:textId="20F5BDB9" w:rsidR="001B0AE2" w:rsidRPr="003B6B1B" w:rsidRDefault="001B0AE2" w:rsidP="00253EDC">
      <w:pPr>
        <w:pStyle w:val="Heading3"/>
      </w:pPr>
      <w:r w:rsidRPr="003B6B1B">
        <w:lastRenderedPageBreak/>
        <w:t xml:space="preserve">Governance and Reporting Obligations </w:t>
      </w:r>
    </w:p>
    <w:p w14:paraId="31A33E2A" w14:textId="39B10AB0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4781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In what ways does the provider support the AML/CTF Governing Body, Compliance Officer and Senior Manager(s)?</w:t>
      </w:r>
    </w:p>
    <w:p w14:paraId="5E94B164" w14:textId="13CE0BF4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35002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</w:t>
      </w:r>
      <w:r w:rsidR="001B0AE2" w:rsidRPr="003B6B1B">
        <w:rPr>
          <w:rFonts w:eastAsiaTheme="minorEastAsia"/>
        </w:rPr>
        <w:t>an roles and responsibilities be assigned within the system (e.g. Compliance Officer, reviewer, decision-maker)?</w:t>
      </w:r>
    </w:p>
    <w:p w14:paraId="096624E5" w14:textId="122796BA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5489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system support internal escalation and review of AML/CTF issues?</w:t>
      </w:r>
    </w:p>
    <w:p w14:paraId="2EA21752" w14:textId="7BFF748F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677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Are overrides of automated outcomes subject to review, approval or periodic audit?</w:t>
      </w:r>
    </w:p>
    <w:p w14:paraId="1B656C20" w14:textId="0932C6C0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67162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Can override patterns be monitored (e.g. frequent downgrading of risk)?</w:t>
      </w:r>
    </w:p>
    <w:p w14:paraId="1CF1B81B" w14:textId="03BD1DF4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65722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Theme="minorEastAsia"/>
        </w:rPr>
        <w:t>Can the practice conduct periodic sampling or internal review of files to verify that AML/CTF procedures are being applied correctly?</w:t>
      </w:r>
    </w:p>
    <w:p w14:paraId="0030AB4B" w14:textId="7DD17AFC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6939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provider allow for:</w:t>
      </w:r>
    </w:p>
    <w:p w14:paraId="66281AA9" w14:textId="60EEE872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191927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SMRs</w:t>
      </w:r>
    </w:p>
    <w:p w14:paraId="2B93AB00" w14:textId="39257482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51589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TTRs</w:t>
      </w:r>
    </w:p>
    <w:p w14:paraId="5B13EC8D" w14:textId="6CF362A9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72714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IFT reports</w:t>
      </w:r>
    </w:p>
    <w:p w14:paraId="2666B6FD" w14:textId="501CD984" w:rsidR="001B0AE2" w:rsidRPr="003B6B1B" w:rsidRDefault="0060577B" w:rsidP="00253EDC">
      <w:pPr>
        <w:pStyle w:val="Body"/>
        <w:ind w:left="1134" w:hanging="567"/>
      </w:pPr>
      <w:sdt>
        <w:sdtPr>
          <w:rPr>
            <w:sz w:val="28"/>
            <w:szCs w:val="28"/>
          </w:rPr>
          <w:id w:val="-194198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Cross border reports</w:t>
      </w:r>
    </w:p>
    <w:p w14:paraId="4D86D29D" w14:textId="5054BC36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8421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 xml:space="preserve">Can information be exported in a way which supports the annual reporting obligations? </w:t>
      </w:r>
    </w:p>
    <w:p w14:paraId="761ADD69" w14:textId="77777777" w:rsidR="00253EDC" w:rsidRPr="003B6B1B" w:rsidRDefault="00253EDC" w:rsidP="00253EDC">
      <w:pPr>
        <w:pStyle w:val="Body"/>
        <w:ind w:left="567" w:hanging="567"/>
      </w:pPr>
    </w:p>
    <w:p w14:paraId="484AAE8C" w14:textId="77777777" w:rsidR="001B0AE2" w:rsidRPr="003B6B1B" w:rsidRDefault="001B0AE2" w:rsidP="00253EDC">
      <w:pPr>
        <w:pStyle w:val="Heading2"/>
      </w:pPr>
      <w:r w:rsidRPr="003B6B1B">
        <w:t xml:space="preserve">Record Keeping </w:t>
      </w:r>
    </w:p>
    <w:p w14:paraId="7416FEB5" w14:textId="19D349C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093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keep complete, accurate and retrievable records for compliance audits? </w:t>
      </w:r>
    </w:p>
    <w:p w14:paraId="31365B64" w14:textId="34E6EB07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258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Are records retained in accordance with AML/CTF record-keeping obligations and accessible for the required retention period?</w:t>
      </w:r>
    </w:p>
    <w:p w14:paraId="0D5CEC10" w14:textId="3D3EFFC5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68755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Can the provider export reports for viewing by the AML/CTF Compliance Officer? </w:t>
      </w:r>
    </w:p>
    <w:p w14:paraId="40D8E865" w14:textId="22A8B546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797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is the cost in accessing such records?</w:t>
      </w:r>
    </w:p>
    <w:p w14:paraId="46A780C5" w14:textId="77777777" w:rsidR="00253EDC" w:rsidRPr="003B6B1B" w:rsidRDefault="00253EDC" w:rsidP="00253EDC">
      <w:pPr>
        <w:pStyle w:val="Body"/>
        <w:ind w:left="567" w:hanging="567"/>
        <w:rPr>
          <w:sz w:val="22"/>
          <w:szCs w:val="22"/>
        </w:rPr>
      </w:pPr>
    </w:p>
    <w:p w14:paraId="5C584893" w14:textId="77777777" w:rsidR="001B0AE2" w:rsidRPr="003B6B1B" w:rsidRDefault="001B0AE2" w:rsidP="00253EDC">
      <w:pPr>
        <w:pStyle w:val="Heading2"/>
      </w:pPr>
      <w:r w:rsidRPr="003B6B1B">
        <w:t xml:space="preserve">Future Suitability </w:t>
      </w:r>
    </w:p>
    <w:p w14:paraId="41E52018" w14:textId="3C6FA8BA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7128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account for future regulatory changes?  </w:t>
      </w:r>
    </w:p>
    <w:p w14:paraId="0E0D19C1" w14:textId="66FE14C5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8233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Is the service scalable for future growth (i.e. client or practice size or change in type of legal services offered)?  </w:t>
      </w:r>
    </w:p>
    <w:p w14:paraId="27A1BD35" w14:textId="1C6843CF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689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provider notify you of changes etc. that have been issued by AUSTRAC as the regulator?</w:t>
      </w:r>
    </w:p>
    <w:p w14:paraId="7B9458F9" w14:textId="77777777" w:rsidR="00253EDC" w:rsidRPr="003B6B1B" w:rsidRDefault="00253EDC" w:rsidP="00253EDC">
      <w:pPr>
        <w:pStyle w:val="Body"/>
        <w:ind w:left="567" w:hanging="567"/>
      </w:pPr>
    </w:p>
    <w:p w14:paraId="4F6799F3" w14:textId="77777777" w:rsidR="00995717" w:rsidRDefault="00995717">
      <w:pPr>
        <w:spacing w:after="0"/>
        <w:rPr>
          <w:rFonts w:eastAsiaTheme="minorHAnsi"/>
          <w:b/>
          <w:bCs/>
          <w:iCs/>
          <w:color w:val="72B1C8"/>
          <w:sz w:val="28"/>
          <w:szCs w:val="28"/>
        </w:rPr>
      </w:pPr>
      <w:r>
        <w:br w:type="page"/>
      </w:r>
    </w:p>
    <w:p w14:paraId="02E467A9" w14:textId="4E4F3315" w:rsidR="001B0AE2" w:rsidRPr="003B6B1B" w:rsidRDefault="001B0AE2" w:rsidP="00253EDC">
      <w:pPr>
        <w:pStyle w:val="Heading2"/>
      </w:pPr>
      <w:r w:rsidRPr="003B6B1B">
        <w:lastRenderedPageBreak/>
        <w:t xml:space="preserve">Pricing Model </w:t>
      </w:r>
    </w:p>
    <w:p w14:paraId="0F6963DD" w14:textId="3E0D399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0423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is the term of the provider’s contract?</w:t>
      </w:r>
    </w:p>
    <w:p w14:paraId="5928C1DE" w14:textId="5D59187C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179312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Month by month </w:t>
      </w:r>
    </w:p>
    <w:p w14:paraId="0BA2556B" w14:textId="22E2440B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87990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Annual</w:t>
      </w:r>
    </w:p>
    <w:p w14:paraId="6DB38F55" w14:textId="45B098C9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117947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Locked-in term</w:t>
      </w:r>
    </w:p>
    <w:p w14:paraId="1C8EA931" w14:textId="160B2C56" w:rsidR="001B0AE2" w:rsidRPr="003B6B1B" w:rsidRDefault="0060577B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162654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By number of users/seats</w:t>
      </w:r>
    </w:p>
    <w:p w14:paraId="27FD7347" w14:textId="367A89F4" w:rsidR="001B0AE2" w:rsidRPr="003B6B1B" w:rsidRDefault="0060577B" w:rsidP="00253EDC">
      <w:pPr>
        <w:pStyle w:val="Body"/>
        <w:ind w:left="1134" w:hanging="567"/>
      </w:pPr>
      <w:sdt>
        <w:sdtPr>
          <w:rPr>
            <w:sz w:val="28"/>
            <w:szCs w:val="28"/>
          </w:rPr>
          <w:id w:val="208363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Other: </w:t>
      </w:r>
      <w:sdt>
        <w:sdtPr>
          <w:rPr>
            <w:shd w:val="clear" w:color="auto" w:fill="F2F2F2" w:themeFill="background1" w:themeFillShade="F2"/>
          </w:rPr>
          <w:id w:val="2061590586"/>
          <w:placeholder>
            <w:docPart w:val="9348317C6030452D85B6C2FB12BA8CB2"/>
          </w:placeholder>
          <w:showingPlcHdr/>
        </w:sdtPr>
        <w:sdtEndPr/>
        <w:sdtContent>
          <w:r w:rsidR="001B0AE2" w:rsidRPr="003B6B1B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413C204B" w14:textId="5579A34C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1094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upgrades or are they included during the term of the contract? </w:t>
      </w:r>
    </w:p>
    <w:p w14:paraId="3AAFAB3F" w14:textId="37BC7FA5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93316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ongoing support and maintenance? </w:t>
      </w:r>
    </w:p>
    <w:p w14:paraId="00496D1A" w14:textId="5C8D6730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38687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training? If included, how many hours and users are included in the training offered?  </w:t>
      </w:r>
    </w:p>
    <w:p w14:paraId="4D41B398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44546A" w:themeColor="text2"/>
        </w:rPr>
      </w:pPr>
    </w:p>
    <w:p w14:paraId="1BEB306D" w14:textId="77777777" w:rsidR="001B0AE2" w:rsidRPr="003B6B1B" w:rsidRDefault="001B0AE2" w:rsidP="00253EDC">
      <w:pPr>
        <w:pStyle w:val="Heading2"/>
        <w:ind w:left="567" w:hanging="567"/>
      </w:pPr>
      <w:r w:rsidRPr="003B6B1B">
        <w:t>Workflow Integration</w:t>
      </w:r>
    </w:p>
    <w:p w14:paraId="28AD7EFF" w14:textId="649C559D" w:rsidR="001B0AE2" w:rsidRPr="003B6B1B" w:rsidRDefault="0060577B" w:rsidP="00995717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7282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Can AML/CTF processes be embedded into the practice’s workflow (e.g. prior to opening a file or commencing work)?</w:t>
      </w:r>
    </w:p>
    <w:p w14:paraId="22EDC3BF" w14:textId="1FA3A923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27263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prevent or flag progression of a matter where AML/CTF requirements are incomplete?</w:t>
      </w:r>
    </w:p>
    <w:p w14:paraId="167B3854" w14:textId="2D9DF3ED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4518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enforce “hard stops” where critical AML/CTF steps are incomplete (rather than relying solely on warnings)?</w:t>
      </w:r>
    </w:p>
    <w:p w14:paraId="102C9C00" w14:textId="7B6D5D37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17051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integrate with existing file management systems in a way that supports consistent application across all matters?</w:t>
      </w:r>
    </w:p>
    <w:p w14:paraId="1A69694B" w14:textId="339D700D" w:rsidR="001B0AE2" w:rsidRDefault="0060577B" w:rsidP="00253EDC">
      <w:pPr>
        <w:pStyle w:val="Body"/>
        <w:ind w:left="567" w:hanging="567"/>
        <w:rPr>
          <w:rFonts w:eastAsiaTheme="minorEastAsia"/>
        </w:rPr>
      </w:pPr>
      <w:sdt>
        <w:sdtPr>
          <w:rPr>
            <w:sz w:val="28"/>
            <w:szCs w:val="28"/>
          </w:rPr>
          <w:id w:val="-167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Theme="minorEastAsia"/>
        </w:rPr>
        <w:t>Does the system support consistent application of AML/CTF procedures across all relevant matters (i.e. avoids ad hoc or inconsistent use)?</w:t>
      </w:r>
      <w:bookmarkStart w:id="0" w:name="_Hlk216864313"/>
    </w:p>
    <w:p w14:paraId="26CE4166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44546A" w:themeColor="text2"/>
        </w:rPr>
      </w:pPr>
    </w:p>
    <w:p w14:paraId="58F92C0D" w14:textId="77777777" w:rsidR="001B0AE2" w:rsidRPr="003B6B1B" w:rsidRDefault="001B0AE2" w:rsidP="00253EDC">
      <w:pPr>
        <w:pStyle w:val="Heading2"/>
      </w:pPr>
      <w:r w:rsidRPr="003B6B1B">
        <w:t xml:space="preserve">Compliance </w:t>
      </w:r>
      <w:bookmarkEnd w:id="0"/>
      <w:r w:rsidRPr="003B6B1B">
        <w:t xml:space="preserve">with Privacy Requirements </w:t>
      </w:r>
    </w:p>
    <w:p w14:paraId="6A1BC556" w14:textId="77777777" w:rsidR="001B0AE2" w:rsidRPr="003B6B1B" w:rsidRDefault="001B0AE2" w:rsidP="00995717">
      <w:pPr>
        <w:pStyle w:val="Body"/>
        <w:rPr>
          <w:i/>
          <w:iCs/>
        </w:rPr>
      </w:pPr>
      <w:r w:rsidRPr="003B6B1B">
        <w:t xml:space="preserve">Practices that are reporting entities under the AML/CTF Act must ensure all handling of personal information complies with the </w:t>
      </w:r>
      <w:r w:rsidRPr="00995717">
        <w:t>Australian</w:t>
      </w:r>
      <w:r w:rsidRPr="003B6B1B">
        <w:t xml:space="preserve"> Privacy Principles (APPs) under the </w:t>
      </w:r>
      <w:r w:rsidRPr="003B6B1B">
        <w:rPr>
          <w:i/>
          <w:iCs/>
        </w:rPr>
        <w:t xml:space="preserve">Privacy Act 1988. </w:t>
      </w:r>
    </w:p>
    <w:p w14:paraId="466E738C" w14:textId="77777777" w:rsidR="001B0AE2" w:rsidRPr="003B6B1B" w:rsidRDefault="001B0AE2" w:rsidP="00253EDC">
      <w:pPr>
        <w:pStyle w:val="Heading3"/>
        <w:rPr>
          <w:i/>
          <w:iCs/>
        </w:rPr>
      </w:pPr>
      <w:r w:rsidRPr="003B6B1B">
        <w:t xml:space="preserve">Your Practice </w:t>
      </w:r>
    </w:p>
    <w:p w14:paraId="16538CA4" w14:textId="07EC0CD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98531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your practice have a member of staff responsible for overall privacy management? </w:t>
      </w:r>
    </w:p>
    <w:p w14:paraId="1E472DB2" w14:textId="187CD45F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4624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your practice have a clear privacy policy that details how personal information is collected, notifying clients of how their information is used?</w:t>
      </w:r>
    </w:p>
    <w:p w14:paraId="2BB0CF65" w14:textId="405859E1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7209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your practice undergo regular reporting of privacy risks and other issues? </w:t>
      </w:r>
    </w:p>
    <w:p w14:paraId="39112557" w14:textId="3DA00E7B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0581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How does your practice assess privacy risks associated with engaging third-party providers?  </w:t>
      </w:r>
    </w:p>
    <w:p w14:paraId="61D257AA" w14:textId="6D003FE4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97897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Is information disclosed to RegTech providers within the scope of the purpose it was collected for, or where an exception applies?  </w:t>
      </w:r>
    </w:p>
    <w:p w14:paraId="5D7A0586" w14:textId="152FFCC1" w:rsidR="001B0AE2" w:rsidRPr="003B6B1B" w:rsidRDefault="0060577B" w:rsidP="00253EDC">
      <w:pPr>
        <w:pStyle w:val="Body"/>
        <w:ind w:left="567" w:hanging="567"/>
        <w:rPr>
          <w:color w:val="808080" w:themeColor="background1" w:themeShade="80"/>
        </w:rPr>
      </w:pPr>
      <w:sdt>
        <w:sdtPr>
          <w:rPr>
            <w:sz w:val="28"/>
            <w:szCs w:val="28"/>
          </w:rPr>
          <w:id w:val="-48578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How is information held for AML/CTF purposes secured, de-identified and destroyed once no longer needed? </w:t>
      </w:r>
    </w:p>
    <w:p w14:paraId="2D32CDAE" w14:textId="77777777" w:rsidR="001B0AE2" w:rsidRPr="003B6B1B" w:rsidRDefault="001B0AE2" w:rsidP="00253EDC">
      <w:pPr>
        <w:pStyle w:val="Heading3"/>
        <w:rPr>
          <w:i/>
          <w:iCs/>
        </w:rPr>
      </w:pPr>
      <w:r w:rsidRPr="003B6B1B">
        <w:lastRenderedPageBreak/>
        <w:t xml:space="preserve">External RegTech Providers </w:t>
      </w:r>
    </w:p>
    <w:p w14:paraId="11096A8D" w14:textId="7284071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4144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have a clear privacy policy that details how personal information is collected? </w:t>
      </w:r>
    </w:p>
    <w:p w14:paraId="31494AA3" w14:textId="4C1C3A88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4237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Can the provider collect only the minimum amount of personal information that is reasonably necessary to comply with AML/CTF obligations?</w:t>
      </w:r>
    </w:p>
    <w:p w14:paraId="63C11785" w14:textId="71FE4DC4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324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Can the provider ensure sensitive client data is secured? </w:t>
      </w:r>
    </w:p>
    <w:p w14:paraId="7854AF22" w14:textId="476F44AA" w:rsidR="00995717" w:rsidRDefault="0060577B" w:rsidP="00995717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63505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Where is client data stored (including whether data is held offshore)?</w:t>
      </w:r>
    </w:p>
    <w:p w14:paraId="5EE25473" w14:textId="3EC2AB13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06945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995717" w:rsidRPr="003B6B1B">
        <w:rPr>
          <w:rFonts w:eastAsiaTheme="minorEastAsia"/>
        </w:rPr>
        <w:t xml:space="preserve"> </w:t>
      </w:r>
      <w:r w:rsidR="001B0AE2" w:rsidRPr="003B6B1B">
        <w:rPr>
          <w:rFonts w:eastAsiaTheme="minorEastAsia"/>
        </w:rPr>
        <w:t>If data is stored offshore, has the practice assessed:</w:t>
      </w:r>
    </w:p>
    <w:p w14:paraId="2BCEA96E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 xml:space="preserve">jurisdictional risk </w:t>
      </w:r>
    </w:p>
    <w:p w14:paraId="3246AFC9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 xml:space="preserve">enforceability of privacy protections </w:t>
      </w:r>
    </w:p>
    <w:p w14:paraId="5CD28F27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>consistency with APP 8 (cross-border disclosure)?</w:t>
      </w:r>
    </w:p>
    <w:p w14:paraId="14CAC2E8" w14:textId="11EF3F27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22233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engage third-party sub-processors, and if so, how is data protected?</w:t>
      </w:r>
    </w:p>
    <w:p w14:paraId="41A3FBCC" w14:textId="22566E7F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77508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permit audit or verification of its data handling practices?</w:t>
      </w:r>
    </w:p>
    <w:p w14:paraId="4AFF9FD2" w14:textId="68D9C1DF" w:rsidR="001B0AE2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111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secure data encryption methods and other controls does the provider utilise?</w:t>
      </w:r>
    </w:p>
    <w:p w14:paraId="1F3B0BCC" w14:textId="77777777" w:rsidR="00995717" w:rsidRPr="003B6B1B" w:rsidRDefault="00995717" w:rsidP="00253EDC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</w:p>
    <w:p w14:paraId="4BA3058B" w14:textId="77777777" w:rsidR="001B0AE2" w:rsidRPr="003B6B1B" w:rsidRDefault="001B0AE2" w:rsidP="00995717">
      <w:pPr>
        <w:pStyle w:val="Heading2"/>
      </w:pPr>
      <w:r w:rsidRPr="003B6B1B">
        <w:t xml:space="preserve">Provider Transparency </w:t>
      </w:r>
    </w:p>
    <w:p w14:paraId="48187F8F" w14:textId="6330C5BE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208051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Is the provider generally well-known and positively regarded/reviewed?  </w:t>
      </w:r>
    </w:p>
    <w:p w14:paraId="6EE27786" w14:textId="611EF099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20327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clearly outline the scope of their services?  </w:t>
      </w:r>
    </w:p>
    <w:p w14:paraId="01104313" w14:textId="7B0110F8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48612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maintain open communication channels, providing regular updates and support?  </w:t>
      </w:r>
    </w:p>
    <w:p w14:paraId="67E9D8E3" w14:textId="72F4EFCE" w:rsidR="001B0AE2" w:rsidRPr="003B6B1B" w:rsidRDefault="0060577B" w:rsidP="00253EDC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-194336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>How central is internal human oversight to decision-making processes?</w:t>
      </w:r>
    </w:p>
    <w:p w14:paraId="11326405" w14:textId="0A4A1E45" w:rsidR="001B0AE2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03442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clearly disclose the limitations of its system (including areas requiring human judgment)?</w:t>
      </w:r>
    </w:p>
    <w:p w14:paraId="092D2B20" w14:textId="77777777" w:rsidR="00995717" w:rsidRPr="003B6B1B" w:rsidRDefault="00995717" w:rsidP="00253EDC">
      <w:pPr>
        <w:pStyle w:val="Body"/>
        <w:ind w:left="567" w:hanging="567"/>
        <w:rPr>
          <w:rFonts w:eastAsia="Arial"/>
        </w:rPr>
      </w:pPr>
    </w:p>
    <w:p w14:paraId="5533D3CE" w14:textId="77777777" w:rsidR="001B0AE2" w:rsidRPr="003B6B1B" w:rsidRDefault="001B0AE2" w:rsidP="00995717">
      <w:pPr>
        <w:pStyle w:val="Heading2"/>
      </w:pPr>
      <w:r w:rsidRPr="003B6B1B">
        <w:t>Business Continuity and System Failure Risk</w:t>
      </w:r>
    </w:p>
    <w:p w14:paraId="40516452" w14:textId="621F2261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5677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Can the practice continue to meet AML/CTF obligations if the system is unavailable?</w:t>
      </w:r>
    </w:p>
    <w:p w14:paraId="0D827981" w14:textId="5F76D700" w:rsidR="001B0AE2" w:rsidRPr="003B6B1B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13147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have contingency and disaster recovery processes?</w:t>
      </w:r>
    </w:p>
    <w:p w14:paraId="617C09ED" w14:textId="6D230D30" w:rsidR="001B0AE2" w:rsidRDefault="0060577B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6874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How are errors, system failures or incorrect outputs identified and rectified?</w:t>
      </w:r>
    </w:p>
    <w:p w14:paraId="6DFC6C7C" w14:textId="77777777" w:rsidR="00995717" w:rsidRPr="003B6B1B" w:rsidRDefault="00995717" w:rsidP="00253EDC">
      <w:pPr>
        <w:pStyle w:val="Body"/>
        <w:ind w:left="567" w:hanging="567"/>
        <w:rPr>
          <w:rFonts w:eastAsia="Arial"/>
        </w:rPr>
      </w:pPr>
    </w:p>
    <w:p w14:paraId="6E95AE8C" w14:textId="77777777" w:rsidR="001B0AE2" w:rsidRPr="003B6B1B" w:rsidRDefault="001B0AE2" w:rsidP="00995717">
      <w:pPr>
        <w:pStyle w:val="Heading2"/>
      </w:pPr>
      <w:r w:rsidRPr="003B6B1B">
        <w:t xml:space="preserve">Exit Strategy </w:t>
      </w:r>
    </w:p>
    <w:p w14:paraId="7F562ECF" w14:textId="184E4A25" w:rsidR="001B0AE2" w:rsidRPr="003B6B1B" w:rsidRDefault="0060577B" w:rsidP="00995717">
      <w:pPr>
        <w:pStyle w:val="Body"/>
        <w:spacing w:after="80"/>
        <w:ind w:left="567" w:hanging="567"/>
      </w:pPr>
      <w:sdt>
        <w:sdtPr>
          <w:rPr>
            <w:sz w:val="28"/>
            <w:szCs w:val="28"/>
          </w:rPr>
          <w:id w:val="-15692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allow the export of client data, reports, invoices and other documents? </w:t>
      </w:r>
    </w:p>
    <w:p w14:paraId="284EC871" w14:textId="0C684C93" w:rsidR="001B0AE2" w:rsidRPr="003B6B1B" w:rsidRDefault="0060577B" w:rsidP="00995717">
      <w:pPr>
        <w:pStyle w:val="Body"/>
        <w:spacing w:after="80"/>
        <w:ind w:left="567" w:hanging="567"/>
      </w:pPr>
      <w:sdt>
        <w:sdtPr>
          <w:rPr>
            <w:sz w:val="28"/>
            <w:szCs w:val="28"/>
          </w:rPr>
          <w:id w:val="3554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Is there a time constraint on the ability to export? </w:t>
      </w:r>
    </w:p>
    <w:p w14:paraId="716C59A9" w14:textId="04ECD306" w:rsidR="001B0AE2" w:rsidRPr="003B6B1B" w:rsidRDefault="0060577B" w:rsidP="00995717">
      <w:pPr>
        <w:pStyle w:val="Body"/>
        <w:spacing w:after="80"/>
        <w:ind w:left="567" w:hanging="567"/>
        <w:rPr>
          <w:b/>
          <w:bCs/>
          <w:color w:val="BDD6EE" w:themeColor="accent1" w:themeTint="66"/>
        </w:rPr>
      </w:pPr>
      <w:sdt>
        <w:sdtPr>
          <w:rPr>
            <w:sz w:val="28"/>
            <w:szCs w:val="28"/>
          </w:rPr>
          <w:id w:val="204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Are there costs associated with exporting data? If so, what do the costs amount to?  </w:t>
      </w:r>
    </w:p>
    <w:p w14:paraId="64B89497" w14:textId="5017D28B" w:rsidR="001B0AE2" w:rsidRPr="003B6B1B" w:rsidRDefault="0060577B" w:rsidP="00995717">
      <w:pPr>
        <w:pStyle w:val="Body"/>
        <w:spacing w:after="80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323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Can the data be exported in a format that allows transition to another provider without loss of compliance records?</w:t>
      </w:r>
    </w:p>
    <w:p w14:paraId="182949C9" w14:textId="77777777" w:rsidR="001B0AE2" w:rsidRPr="003B6B1B" w:rsidRDefault="001B0AE2" w:rsidP="00995717">
      <w:pPr>
        <w:pStyle w:val="Heading3"/>
        <w:rPr>
          <w:rFonts w:eastAsia="Arial"/>
        </w:rPr>
      </w:pPr>
      <w:r w:rsidRPr="003B6B1B">
        <w:rPr>
          <w:rFonts w:eastAsia="Arial"/>
        </w:rPr>
        <w:lastRenderedPageBreak/>
        <w:t>System Limitations and Residual Risk</w:t>
      </w:r>
    </w:p>
    <w:p w14:paraId="03007133" w14:textId="44F29574" w:rsidR="001B0AE2" w:rsidRPr="003B6B1B" w:rsidRDefault="0060577B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27898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Has the provider clearly identified the limitations of the system?</w:t>
      </w:r>
    </w:p>
    <w:p w14:paraId="43036873" w14:textId="295C5B09" w:rsidR="001B0AE2" w:rsidRPr="003B6B1B" w:rsidRDefault="0060577B" w:rsidP="00253EDC">
      <w:pPr>
        <w:pStyle w:val="Body"/>
        <w:ind w:left="567" w:hanging="567"/>
        <w:rPr>
          <w:b/>
          <w:bCs/>
          <w:color w:val="BDD6EE" w:themeColor="accent1" w:themeTint="66"/>
        </w:rPr>
      </w:pPr>
      <w:sdt>
        <w:sdtPr>
          <w:rPr>
            <w:sz w:val="28"/>
            <w:szCs w:val="28"/>
          </w:rPr>
          <w:id w:val="-3224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Has the practice identified which AML/CTF obligations remain manual or require professional judgment?</w:t>
      </w:r>
    </w:p>
    <w:p w14:paraId="74CAE316" w14:textId="77777777" w:rsidR="001B0AE2" w:rsidRPr="003B6B1B" w:rsidRDefault="001B0AE2" w:rsidP="00995717">
      <w:pPr>
        <w:pStyle w:val="Heading3"/>
      </w:pPr>
      <w:r w:rsidRPr="003B6B1B">
        <w:t xml:space="preserve">Additional Notes </w:t>
      </w:r>
    </w:p>
    <w:p w14:paraId="2676B5A2" w14:textId="77777777" w:rsidR="001B0AE2" w:rsidRPr="003B6B1B" w:rsidRDefault="001B0AE2" w:rsidP="00253EDC">
      <w:pPr>
        <w:pStyle w:val="Body"/>
        <w:ind w:left="567" w:hanging="567"/>
      </w:pPr>
      <w:r w:rsidRPr="003B6B1B">
        <w:t xml:space="preserve">List other considerations in the box below. </w:t>
      </w:r>
    </w:p>
    <w:sdt>
      <w:sdtPr>
        <w:id w:val="1888673422"/>
        <w:placeholder>
          <w:docPart w:val="1862C871203F4AE5A0794100C047B856"/>
        </w:placeholder>
      </w:sdtPr>
      <w:sdtEndPr/>
      <w:sdtContent>
        <w:p w14:paraId="3322DE65" w14:textId="77777777" w:rsidR="001B0AE2" w:rsidRPr="003B6B1B" w:rsidRDefault="001B0AE2" w:rsidP="00995717">
          <w:pPr>
            <w:pStyle w:val="Body"/>
          </w:pPr>
        </w:p>
        <w:p w14:paraId="5BBA9AA9" w14:textId="77777777" w:rsidR="001B0AE2" w:rsidRPr="003B6B1B" w:rsidRDefault="001B0AE2" w:rsidP="00995717">
          <w:pPr>
            <w:pStyle w:val="Body"/>
          </w:pPr>
        </w:p>
        <w:p w14:paraId="20CC3AA9" w14:textId="77777777" w:rsidR="001B0AE2" w:rsidRPr="003B6B1B" w:rsidRDefault="001B0AE2" w:rsidP="00995717">
          <w:pPr>
            <w:pStyle w:val="Body"/>
          </w:pPr>
        </w:p>
        <w:p w14:paraId="55F32322" w14:textId="77777777" w:rsidR="001B0AE2" w:rsidRPr="003B6B1B" w:rsidRDefault="001B0AE2" w:rsidP="00995717">
          <w:pPr>
            <w:pStyle w:val="Body"/>
          </w:pPr>
        </w:p>
        <w:p w14:paraId="6B97C2F7" w14:textId="77777777" w:rsidR="001B0AE2" w:rsidRPr="003B6B1B" w:rsidRDefault="001B0AE2" w:rsidP="00995717">
          <w:pPr>
            <w:pStyle w:val="Body"/>
          </w:pPr>
        </w:p>
        <w:p w14:paraId="381F61FC" w14:textId="77777777" w:rsidR="001B0AE2" w:rsidRPr="003B6B1B" w:rsidRDefault="0060577B" w:rsidP="00995717">
          <w:pPr>
            <w:pStyle w:val="Body"/>
          </w:pPr>
        </w:p>
      </w:sdtContent>
    </w:sdt>
    <w:p w14:paraId="1BA5DB67" w14:textId="77777777" w:rsidR="00995717" w:rsidRDefault="00995717" w:rsidP="003B6B1B">
      <w:pPr>
        <w:pStyle w:val="Body"/>
        <w:rPr>
          <w:rFonts w:eastAsia="Arial"/>
        </w:rPr>
      </w:pPr>
    </w:p>
    <w:p w14:paraId="26FEDBE3" w14:textId="3CF4EFF2" w:rsidR="001B0AE2" w:rsidRPr="003B6B1B" w:rsidRDefault="001B0AE2" w:rsidP="003B6B1B">
      <w:pPr>
        <w:pStyle w:val="Body"/>
        <w:rPr>
          <w:rFonts w:eastAsia="Arial"/>
        </w:rPr>
      </w:pPr>
      <w:r w:rsidRPr="003B6B1B">
        <w:rPr>
          <w:rFonts w:eastAsia="Arial"/>
        </w:rPr>
        <w:t>This checklist forms part of the practice’s AML/CTF program governance framework and should be read in conjunction with the practice’s risk assessment and documented procedures. Adoption of a RegTech solution must align with, and not replace, the practice’s documented procedures and controls.</w:t>
      </w:r>
    </w:p>
    <w:p w14:paraId="1A46570E" w14:textId="77777777" w:rsidR="001B0AE2" w:rsidRDefault="001B0AE2" w:rsidP="003B6B1B">
      <w:pPr>
        <w:pStyle w:val="Body"/>
        <w:rPr>
          <w:b/>
          <w:bCs/>
          <w:color w:val="44546A" w:themeColor="text2"/>
        </w:rPr>
      </w:pPr>
    </w:p>
    <w:p w14:paraId="70F8E20C" w14:textId="77777777" w:rsidR="00435E74" w:rsidRDefault="00435E74" w:rsidP="00435E74">
      <w:pPr>
        <w:pStyle w:val="Heading3"/>
        <w:rPr>
          <w:rFonts w:eastAsiaTheme="minorHAnsi"/>
        </w:rPr>
      </w:pPr>
      <w:r w:rsidRPr="00435E74">
        <w:rPr>
          <w:rFonts w:eastAsiaTheme="minorHAnsi"/>
        </w:rPr>
        <w:t xml:space="preserve">RegTech Assessment Outcome </w:t>
      </w:r>
    </w:p>
    <w:p w14:paraId="63FE0B3A" w14:textId="6CDD613E" w:rsidR="00435E74" w:rsidRDefault="00435E74" w:rsidP="00435E74">
      <w:pPr>
        <w:rPr>
          <w:rFonts w:eastAsiaTheme="minorHAnsi" w:cs="Arial"/>
          <w:b/>
          <w:bCs/>
          <w:color w:val="404040" w:themeColor="text1" w:themeTint="BF"/>
          <w:szCs w:val="18"/>
          <w:lang w:eastAsia="en-US"/>
        </w:rPr>
      </w:pPr>
      <w:r w:rsidRPr="00435E74">
        <w:rPr>
          <w:rFonts w:eastAsiaTheme="minorHAnsi" w:cs="Arial"/>
          <w:b/>
          <w:bCs/>
          <w:color w:val="404040" w:themeColor="text1" w:themeTint="BF"/>
          <w:szCs w:val="18"/>
          <w:lang w:eastAsia="en-US"/>
        </w:rPr>
        <w:t>Decision:</w:t>
      </w:r>
    </w:p>
    <w:p w14:paraId="51573DF6" w14:textId="53CFF460" w:rsidR="00435E74" w:rsidRDefault="0060577B" w:rsidP="00435E74">
      <w:pPr>
        <w:spacing w:after="0"/>
        <w:ind w:left="426" w:hanging="426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9039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Proceed</w:t>
      </w:r>
    </w:p>
    <w:p w14:paraId="5E690AC3" w14:textId="1CD5D379" w:rsidR="00435E74" w:rsidRDefault="0060577B" w:rsidP="00435E74">
      <w:pPr>
        <w:spacing w:after="0"/>
        <w:ind w:left="426" w:hanging="426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4005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Do Not Proceed</w:t>
      </w:r>
    </w:p>
    <w:p w14:paraId="5B9694E7" w14:textId="46E9970C" w:rsidR="00435E74" w:rsidRDefault="0060577B" w:rsidP="00435E74">
      <w:pPr>
        <w:spacing w:after="240"/>
        <w:ind w:left="425" w:hanging="425"/>
        <w:rPr>
          <w:rFonts w:eastAsiaTheme="minorHAnsi" w:cs="Arial"/>
          <w:color w:val="404040" w:themeColor="text1" w:themeTint="BF"/>
          <w:szCs w:val="18"/>
          <w:lang w:eastAsia="en-US"/>
        </w:rPr>
      </w:pPr>
      <w:sdt>
        <w:sdtPr>
          <w:rPr>
            <w:rFonts w:cs="Arial"/>
            <w:sz w:val="28"/>
            <w:szCs w:val="28"/>
          </w:rPr>
          <w:id w:val="-155885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Proceed with Conditions</w:t>
      </w:r>
    </w:p>
    <w:p w14:paraId="3D2D9C8A" w14:textId="77777777" w:rsidR="00BB1F25" w:rsidRPr="00435E74" w:rsidRDefault="00BB1F25" w:rsidP="00435E74">
      <w:pPr>
        <w:spacing w:after="240"/>
        <w:ind w:left="425" w:hanging="425"/>
        <w:rPr>
          <w:rFonts w:eastAsiaTheme="minorHAnsi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435E74" w:rsidRPr="003B6B1B" w14:paraId="0C072E2F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7B4784CD" w14:textId="0F8721D8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Selected provider: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  <w:shd w:val="clear" w:color="auto" w:fill="F2F2F2" w:themeFill="background1" w:themeFillShade="F2"/>
              </w:rPr>
              <w:id w:val="-1529473369"/>
              <w:placeholder>
                <w:docPart w:val="2DE4971D64B246D09DCBA003F941E14A"/>
              </w:placeholder>
            </w:sdtPr>
            <w:sdtEndPr/>
            <w:sdtContent>
              <w:sdt>
                <w:sdtPr>
                  <w:rPr>
                    <w:rFonts w:cs="Arial"/>
                    <w:szCs w:val="18"/>
                  </w:rPr>
                  <w:id w:val="1393464284"/>
                  <w:placeholder>
                    <w:docPart w:val="CEC9B62234564088AFE6888B2A3D4443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Cs w:val="18"/>
                      </w:rPr>
                      <w:id w:val="-1068958116"/>
                      <w:placeholder>
                        <w:docPart w:val="0D441CFC787B414896DFD23B1793B7B7"/>
                      </w:placeholder>
                      <w:showingPlcHdr/>
                    </w:sdtPr>
                    <w:sdtEndPr/>
                    <w:sdtContent>
                      <w:p w14:paraId="01BEB3DF" w14:textId="77777777" w:rsidR="00435E74" w:rsidRPr="003B6B1B" w:rsidRDefault="00435E74" w:rsidP="00720C5B">
                        <w:pPr>
                          <w:shd w:val="clear" w:color="auto" w:fill="F2F2F2" w:themeFill="background1" w:themeFillShade="F2"/>
                          <w:ind w:left="720" w:hanging="720"/>
                          <w:rPr>
                            <w:rFonts w:cs="Arial"/>
                            <w:szCs w:val="18"/>
                          </w:rPr>
                        </w:pPr>
                        <w:r w:rsidRPr="005F6975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35E74" w:rsidRPr="003B6B1B" w14:paraId="6BA812E0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0A836F16" w14:textId="7F30D5CD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Reasons for decision: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1816071569"/>
              <w:placeholder>
                <w:docPart w:val="ED817C1A9569417EAB9E4E4881C675A4"/>
              </w:placeholder>
              <w:showingPlcHdr/>
            </w:sdtPr>
            <w:sdtEndPr/>
            <w:sdtContent>
              <w:p w14:paraId="6F495754" w14:textId="468084E7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222D2BD7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29E8FAC3" w14:textId="3F909328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Key risks identified: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273779912"/>
              <w:placeholder>
                <w:docPart w:val="5FBA97A633E04F68837B2EEF3D508743"/>
              </w:placeholder>
              <w:showingPlcHdr/>
            </w:sdtPr>
            <w:sdtEndPr/>
            <w:sdtContent>
              <w:p w14:paraId="69E8C728" w14:textId="77777777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3BF0CA98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D199D6A" w14:textId="1535B1EE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Risk mitigation strategies: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762224173"/>
              <w:placeholder>
                <w:docPart w:val="D2764806F05746289646FCB2FD78C16F"/>
              </w:placeholder>
              <w:showingPlcHdr/>
            </w:sdtPr>
            <w:sdtEndPr/>
            <w:sdtContent>
              <w:p w14:paraId="1AB8BB29" w14:textId="71DECA1F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4AD8B5E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9F79692" w14:textId="0CEB3D39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 xml:space="preserve">Residual risks accepted </w:t>
            </w:r>
            <w:r>
              <w:rPr>
                <w:b/>
                <w:bCs/>
              </w:rPr>
              <w:br/>
            </w:r>
            <w:r w:rsidRPr="00435E74">
              <w:rPr>
                <w:b/>
                <w:bCs/>
              </w:rPr>
              <w:t>by the practice: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835645482"/>
              <w:placeholder>
                <w:docPart w:val="327FDDBA6980423AA4F34E2B9DF3F610"/>
              </w:placeholder>
              <w:showingPlcHdr/>
            </w:sdtPr>
            <w:sdtEndPr/>
            <w:sdtContent>
              <w:p w14:paraId="6A58331B" w14:textId="77777777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14921B1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5EE73A15" w14:textId="1F6CCC17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Date of assessment: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740330927"/>
              <w:placeholder>
                <w:docPart w:val="15653F8D9EA64D41A1311C7B7D1AB5CF"/>
              </w:placeholder>
              <w:showingPlcHdr/>
            </w:sdtPr>
            <w:sdtEndPr/>
            <w:sdtContent>
              <w:p w14:paraId="67AC1FB4" w14:textId="190DF12A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1C4CFA26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6FD8E57" w14:textId="279C36FE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Completed by: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736522764"/>
              <w:placeholder>
                <w:docPart w:val="FB45D22ADFF74E4AB758CF2CBC18070E"/>
              </w:placeholder>
              <w:showingPlcHdr/>
            </w:sdtPr>
            <w:sdtEndPr/>
            <w:sdtContent>
              <w:p w14:paraId="384A7A92" w14:textId="53D7CE30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436C6B2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06AAF14F" w14:textId="33AE39F6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Approved by: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533349706"/>
              <w:placeholder>
                <w:docPart w:val="E94AD647A17643C4A202A43A475172D5"/>
              </w:placeholder>
              <w:showingPlcHdr/>
            </w:sdtPr>
            <w:sdtEndPr/>
            <w:sdtContent>
              <w:p w14:paraId="66F80723" w14:textId="43FCC9D5" w:rsidR="00435E74" w:rsidRPr="003B6B1B" w:rsidRDefault="00435E74" w:rsidP="00720C5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EB21F69" w14:textId="77777777" w:rsidR="00435E74" w:rsidRDefault="00435E74" w:rsidP="00435E74">
      <w:pPr>
        <w:pStyle w:val="Body"/>
        <w:rPr>
          <w:b/>
          <w:bCs/>
        </w:rPr>
      </w:pPr>
    </w:p>
    <w:p w14:paraId="1786616C" w14:textId="77777777" w:rsidR="001B0AE2" w:rsidRPr="003B6B1B" w:rsidRDefault="001B0AE2" w:rsidP="003B6B1B">
      <w:pPr>
        <w:pStyle w:val="Body"/>
      </w:pPr>
    </w:p>
    <w:p w14:paraId="19541B97" w14:textId="77777777" w:rsidR="001B0AE2" w:rsidRPr="003B6B1B" w:rsidRDefault="001B0AE2" w:rsidP="003B6B1B">
      <w:pPr>
        <w:pStyle w:val="Body"/>
      </w:pPr>
    </w:p>
    <w:p w14:paraId="07592D18" w14:textId="4C627715" w:rsidR="00621E49" w:rsidRPr="003B6B1B" w:rsidRDefault="00621E49" w:rsidP="003B6B1B">
      <w:pPr>
        <w:pStyle w:val="Body"/>
      </w:pPr>
    </w:p>
    <w:sectPr w:rsidR="00621E49" w:rsidRPr="003B6B1B" w:rsidSect="00BD31EE">
      <w:footerReference w:type="default" r:id="rId13"/>
      <w:type w:val="continuous"/>
      <w:pgSz w:w="11906" w:h="16838"/>
      <w:pgMar w:top="993" w:right="1440" w:bottom="1418" w:left="144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6D60" w14:textId="77777777" w:rsidR="00C2003E" w:rsidRDefault="00C2003E" w:rsidP="000E3D3A">
      <w:pPr>
        <w:spacing w:after="0"/>
      </w:pPr>
      <w:r>
        <w:separator/>
      </w:r>
    </w:p>
  </w:endnote>
  <w:endnote w:type="continuationSeparator" w:id="0">
    <w:p w14:paraId="5D888000" w14:textId="77777777" w:rsidR="00C2003E" w:rsidRDefault="00C2003E" w:rsidP="000E3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176AB044" w14:textId="77777777" w:rsidTr="00720C5B">
      <w:tc>
        <w:tcPr>
          <w:tcW w:w="9219" w:type="dxa"/>
        </w:tcPr>
        <w:p w14:paraId="35DBA814" w14:textId="77777777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>
            <w:rPr>
              <w:color w:val="0F2D52"/>
              <w:sz w:val="16"/>
              <w:szCs w:val="16"/>
            </w:rPr>
            <w:t xml:space="preserve">Checklist – </w:t>
          </w:r>
          <w:r w:rsidRPr="002B2296">
            <w:rPr>
              <w:color w:val="0F2D52"/>
              <w:sz w:val="16"/>
              <w:szCs w:val="16"/>
            </w:rPr>
            <w:t>C</w:t>
          </w:r>
          <w:r>
            <w:rPr>
              <w:color w:val="0F2D52"/>
              <w:sz w:val="16"/>
              <w:szCs w:val="16"/>
            </w:rPr>
            <w:t>losing a Law Practice</w:t>
          </w:r>
        </w:p>
      </w:tc>
      <w:tc>
        <w:tcPr>
          <w:tcW w:w="1413" w:type="dxa"/>
        </w:tcPr>
        <w:p w14:paraId="46CBE706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641091D2" w14:textId="77777777" w:rsidR="003B6B1B" w:rsidRDefault="003B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6B8C8F9D" w14:textId="77777777" w:rsidTr="00720C5B">
      <w:tc>
        <w:tcPr>
          <w:tcW w:w="9219" w:type="dxa"/>
        </w:tcPr>
        <w:p w14:paraId="33E95AAE" w14:textId="440CC25E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>
            <w:rPr>
              <w:color w:val="0F2D52"/>
              <w:sz w:val="16"/>
              <w:szCs w:val="16"/>
            </w:rPr>
            <w:t xml:space="preserve">Checklist – </w:t>
          </w:r>
          <w:r w:rsidR="00260D13" w:rsidRPr="00260D13">
            <w:rPr>
              <w:color w:val="0F2D52"/>
              <w:sz w:val="16"/>
              <w:szCs w:val="16"/>
            </w:rPr>
            <w:t>AML/CTF REGTECH</w:t>
          </w:r>
        </w:p>
      </w:tc>
      <w:tc>
        <w:tcPr>
          <w:tcW w:w="1413" w:type="dxa"/>
        </w:tcPr>
        <w:p w14:paraId="1A4887C0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591FCC31" w14:textId="77777777" w:rsidR="003B6B1B" w:rsidRDefault="003B6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326BC130" w14:textId="77777777" w:rsidTr="00720C5B">
      <w:tc>
        <w:tcPr>
          <w:tcW w:w="9219" w:type="dxa"/>
        </w:tcPr>
        <w:p w14:paraId="1B0A95A3" w14:textId="4BEB12AA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 w:rsidR="00260D13">
            <w:rPr>
              <w:color w:val="0F2D52"/>
              <w:sz w:val="16"/>
              <w:szCs w:val="16"/>
            </w:rPr>
            <w:t xml:space="preserve">Checklist – </w:t>
          </w:r>
          <w:r w:rsidR="00260D13" w:rsidRPr="00260D13">
            <w:rPr>
              <w:color w:val="0F2D52"/>
              <w:sz w:val="16"/>
              <w:szCs w:val="16"/>
            </w:rPr>
            <w:t>AML/CTF REGTECH</w:t>
          </w:r>
        </w:p>
      </w:tc>
      <w:tc>
        <w:tcPr>
          <w:tcW w:w="1413" w:type="dxa"/>
        </w:tcPr>
        <w:p w14:paraId="001B4D29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6ADF171E" w14:textId="77777777" w:rsidR="003B6B1B" w:rsidRDefault="003B6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AE1F" w14:textId="77777777" w:rsidR="00C2003E" w:rsidRPr="00F82830" w:rsidRDefault="00C2003E" w:rsidP="000E3D3A">
      <w:pPr>
        <w:spacing w:after="0"/>
      </w:pPr>
      <w:r w:rsidRPr="00F82830">
        <w:separator/>
      </w:r>
    </w:p>
  </w:footnote>
  <w:footnote w:type="continuationSeparator" w:id="0">
    <w:p w14:paraId="6281A9AB" w14:textId="77777777" w:rsidR="00C2003E" w:rsidRDefault="00C2003E" w:rsidP="000E3D3A">
      <w:pPr>
        <w:spacing w:after="0"/>
      </w:pPr>
      <w:r>
        <w:continuationSeparator/>
      </w:r>
    </w:p>
  </w:footnote>
  <w:footnote w:type="continuationNotice" w:id="1">
    <w:p w14:paraId="5AA267C6" w14:textId="77777777" w:rsidR="00C2003E" w:rsidRDefault="00C200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34E7" w14:textId="540BBB09" w:rsidR="00E840CC" w:rsidRDefault="00E840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133284" wp14:editId="0FEC1460">
          <wp:simplePos x="0" y="0"/>
          <wp:positionH relativeFrom="column">
            <wp:posOffset>4589698</wp:posOffset>
          </wp:positionH>
          <wp:positionV relativeFrom="page">
            <wp:posOffset>304636</wp:posOffset>
          </wp:positionV>
          <wp:extent cx="1734185" cy="443865"/>
          <wp:effectExtent l="0" t="0" r="0" b="0"/>
          <wp:wrapNone/>
          <wp:docPr id="641755233" name="Picture 1">
            <a:extLst xmlns:a="http://schemas.openxmlformats.org/drawingml/2006/main">
              <a:ext uri="{FF2B5EF4-FFF2-40B4-BE49-F238E27FC236}">
                <a16:creationId xmlns:a16="http://schemas.microsoft.com/office/drawing/2014/main" id="{B81647E8-D70E-138C-3471-1FC250943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81647E8-D70E-138C-3471-1FC250943D8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AEE60DC"/>
    <w:lvl w:ilvl="0">
      <w:start w:val="1"/>
      <w:numFmt w:val="lowerLetter"/>
      <w:pStyle w:val="Listletters"/>
      <w:lvlText w:val="(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10D77E5"/>
    <w:multiLevelType w:val="hybridMultilevel"/>
    <w:tmpl w:val="B122E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5A1"/>
    <w:multiLevelType w:val="hybridMultilevel"/>
    <w:tmpl w:val="446E8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649"/>
    <w:multiLevelType w:val="multilevel"/>
    <w:tmpl w:val="C432625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Arial" w:hAnsi="Arial" w:hint="default"/>
        <w:b/>
        <w:sz w:val="24"/>
      </w:rPr>
    </w:lvl>
    <w:lvl w:ilvl="1">
      <w:start w:val="1"/>
      <w:numFmt w:val="decimal"/>
      <w:pStyle w:val="Style1"/>
      <w:suff w:val="space"/>
      <w:lvlText w:val="%1.%2."/>
      <w:lvlJc w:val="left"/>
      <w:pPr>
        <w:ind w:left="567" w:hanging="567"/>
      </w:pPr>
      <w:rPr>
        <w:rFonts w:ascii="Arial" w:hAnsi="Arial" w:hint="default"/>
        <w:b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BF11665"/>
    <w:multiLevelType w:val="hybridMultilevel"/>
    <w:tmpl w:val="BBBA5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B073C"/>
    <w:multiLevelType w:val="hybridMultilevel"/>
    <w:tmpl w:val="53984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AB5"/>
    <w:multiLevelType w:val="hybridMultilevel"/>
    <w:tmpl w:val="E36C6D04"/>
    <w:lvl w:ilvl="0" w:tplc="05DABEF8">
      <w:start w:val="1"/>
      <w:numFmt w:val="decimal"/>
      <w:pStyle w:val="ListNumber"/>
      <w:lvlText w:val="%1."/>
      <w:lvlJc w:val="left"/>
      <w:pPr>
        <w:ind w:left="84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161" w:hanging="360"/>
      </w:pPr>
    </w:lvl>
    <w:lvl w:ilvl="2" w:tplc="0C09001B" w:tentative="1">
      <w:start w:val="1"/>
      <w:numFmt w:val="lowerRoman"/>
      <w:lvlText w:val="%3."/>
      <w:lvlJc w:val="right"/>
      <w:pPr>
        <w:ind w:left="9881" w:hanging="180"/>
      </w:pPr>
    </w:lvl>
    <w:lvl w:ilvl="3" w:tplc="0C09000F" w:tentative="1">
      <w:start w:val="1"/>
      <w:numFmt w:val="decimal"/>
      <w:lvlText w:val="%4."/>
      <w:lvlJc w:val="left"/>
      <w:pPr>
        <w:ind w:left="10601" w:hanging="360"/>
      </w:pPr>
    </w:lvl>
    <w:lvl w:ilvl="4" w:tplc="0C090019" w:tentative="1">
      <w:start w:val="1"/>
      <w:numFmt w:val="lowerLetter"/>
      <w:lvlText w:val="%5."/>
      <w:lvlJc w:val="left"/>
      <w:pPr>
        <w:ind w:left="11321" w:hanging="360"/>
      </w:pPr>
    </w:lvl>
    <w:lvl w:ilvl="5" w:tplc="0C09001B" w:tentative="1">
      <w:start w:val="1"/>
      <w:numFmt w:val="lowerRoman"/>
      <w:lvlText w:val="%6."/>
      <w:lvlJc w:val="right"/>
      <w:pPr>
        <w:ind w:left="12041" w:hanging="180"/>
      </w:pPr>
    </w:lvl>
    <w:lvl w:ilvl="6" w:tplc="0C09000F" w:tentative="1">
      <w:start w:val="1"/>
      <w:numFmt w:val="decimal"/>
      <w:lvlText w:val="%7."/>
      <w:lvlJc w:val="left"/>
      <w:pPr>
        <w:ind w:left="12761" w:hanging="360"/>
      </w:pPr>
    </w:lvl>
    <w:lvl w:ilvl="7" w:tplc="0C090019" w:tentative="1">
      <w:start w:val="1"/>
      <w:numFmt w:val="lowerLetter"/>
      <w:lvlText w:val="%8."/>
      <w:lvlJc w:val="left"/>
      <w:pPr>
        <w:ind w:left="13481" w:hanging="360"/>
      </w:pPr>
    </w:lvl>
    <w:lvl w:ilvl="8" w:tplc="0C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455C1715"/>
    <w:multiLevelType w:val="hybridMultilevel"/>
    <w:tmpl w:val="8AA0B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879B7"/>
    <w:multiLevelType w:val="hybridMultilevel"/>
    <w:tmpl w:val="55B09592"/>
    <w:lvl w:ilvl="0" w:tplc="52A04D38">
      <w:start w:val="1"/>
      <w:numFmt w:val="bullet"/>
      <w:pStyle w:val="ListBullet"/>
      <w:lvlText w:val="•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65277"/>
    <w:multiLevelType w:val="multilevel"/>
    <w:tmpl w:val="77E61D12"/>
    <w:numStyleLink w:val="QLSMultilevelList"/>
  </w:abstractNum>
  <w:abstractNum w:abstractNumId="10" w15:restartNumberingAfterBreak="0">
    <w:nsid w:val="5B0F0BF7"/>
    <w:multiLevelType w:val="multilevel"/>
    <w:tmpl w:val="77E61D12"/>
    <w:styleLink w:val="QLSMultilevelList"/>
    <w:lvl w:ilvl="0">
      <w:start w:val="1"/>
      <w:numFmt w:val="decimal"/>
      <w:pStyle w:val="NumberedHeading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sz w:val="32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sz w:val="24"/>
      </w:rPr>
    </w:lvl>
    <w:lvl w:ilvl="2">
      <w:start w:val="1"/>
      <w:numFmt w:val="decimal"/>
      <w:pStyle w:val="NumberedHeading3"/>
      <w:lvlText w:val="%1.%2.%3."/>
      <w:lvlJc w:val="left"/>
      <w:pPr>
        <w:tabs>
          <w:tab w:val="num" w:pos="1814"/>
        </w:tabs>
        <w:ind w:left="1814" w:hanging="453"/>
      </w:pPr>
      <w:rPr>
        <w:rFonts w:ascii="Arial" w:hAnsi="Arial" w:hint="default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B807652"/>
    <w:multiLevelType w:val="hybridMultilevel"/>
    <w:tmpl w:val="EBE6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E49"/>
    <w:multiLevelType w:val="hybridMultilevel"/>
    <w:tmpl w:val="05BA3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26001">
    <w:abstractNumId w:val="0"/>
  </w:num>
  <w:num w:numId="2" w16cid:durableId="623728994">
    <w:abstractNumId w:val="10"/>
  </w:num>
  <w:num w:numId="3" w16cid:durableId="861630471">
    <w:abstractNumId w:val="3"/>
  </w:num>
  <w:num w:numId="4" w16cid:durableId="1535079002">
    <w:abstractNumId w:val="9"/>
  </w:num>
  <w:num w:numId="5" w16cid:durableId="2636837">
    <w:abstractNumId w:val="8"/>
  </w:num>
  <w:num w:numId="6" w16cid:durableId="251548362">
    <w:abstractNumId w:val="6"/>
  </w:num>
  <w:num w:numId="7" w16cid:durableId="264728737">
    <w:abstractNumId w:val="4"/>
  </w:num>
  <w:num w:numId="8" w16cid:durableId="780297504">
    <w:abstractNumId w:val="7"/>
  </w:num>
  <w:num w:numId="9" w16cid:durableId="1472014127">
    <w:abstractNumId w:val="1"/>
  </w:num>
  <w:num w:numId="10" w16cid:durableId="1190414627">
    <w:abstractNumId w:val="2"/>
  </w:num>
  <w:num w:numId="11" w16cid:durableId="1989898848">
    <w:abstractNumId w:val="5"/>
  </w:num>
  <w:num w:numId="12" w16cid:durableId="217908676">
    <w:abstractNumId w:val="12"/>
  </w:num>
  <w:num w:numId="13" w16cid:durableId="178456860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6D"/>
    <w:rsid w:val="0000291F"/>
    <w:rsid w:val="00013DA4"/>
    <w:rsid w:val="0001738A"/>
    <w:rsid w:val="00020DC2"/>
    <w:rsid w:val="0002394F"/>
    <w:rsid w:val="000301CA"/>
    <w:rsid w:val="000517B0"/>
    <w:rsid w:val="00065D91"/>
    <w:rsid w:val="00073AE4"/>
    <w:rsid w:val="000750B8"/>
    <w:rsid w:val="00076423"/>
    <w:rsid w:val="0009020C"/>
    <w:rsid w:val="000914D3"/>
    <w:rsid w:val="00092A6C"/>
    <w:rsid w:val="00093F62"/>
    <w:rsid w:val="000A3B38"/>
    <w:rsid w:val="000B74D4"/>
    <w:rsid w:val="000C1F9C"/>
    <w:rsid w:val="000E0A01"/>
    <w:rsid w:val="000E3D3A"/>
    <w:rsid w:val="000E775D"/>
    <w:rsid w:val="000F5AC4"/>
    <w:rsid w:val="00100402"/>
    <w:rsid w:val="00105BEA"/>
    <w:rsid w:val="00115EEA"/>
    <w:rsid w:val="00142A93"/>
    <w:rsid w:val="0016363B"/>
    <w:rsid w:val="001640B7"/>
    <w:rsid w:val="00171047"/>
    <w:rsid w:val="00173896"/>
    <w:rsid w:val="0017487F"/>
    <w:rsid w:val="0017504F"/>
    <w:rsid w:val="00190132"/>
    <w:rsid w:val="00192165"/>
    <w:rsid w:val="001A0F75"/>
    <w:rsid w:val="001A66FB"/>
    <w:rsid w:val="001A6835"/>
    <w:rsid w:val="001B06FE"/>
    <w:rsid w:val="001B0AE2"/>
    <w:rsid w:val="001B2095"/>
    <w:rsid w:val="001C592F"/>
    <w:rsid w:val="001C61D0"/>
    <w:rsid w:val="001D2BDA"/>
    <w:rsid w:val="001E1660"/>
    <w:rsid w:val="001F333C"/>
    <w:rsid w:val="001F4E70"/>
    <w:rsid w:val="002120CE"/>
    <w:rsid w:val="00226AC1"/>
    <w:rsid w:val="0023686D"/>
    <w:rsid w:val="0024000A"/>
    <w:rsid w:val="002510DD"/>
    <w:rsid w:val="00252B7D"/>
    <w:rsid w:val="00253278"/>
    <w:rsid w:val="00253EDC"/>
    <w:rsid w:val="00260D13"/>
    <w:rsid w:val="002654BC"/>
    <w:rsid w:val="00273DA0"/>
    <w:rsid w:val="00290514"/>
    <w:rsid w:val="0029260C"/>
    <w:rsid w:val="00296905"/>
    <w:rsid w:val="00296D9D"/>
    <w:rsid w:val="002A3AE6"/>
    <w:rsid w:val="002A50B1"/>
    <w:rsid w:val="002B2296"/>
    <w:rsid w:val="002B32D9"/>
    <w:rsid w:val="002B3D9E"/>
    <w:rsid w:val="002C1515"/>
    <w:rsid w:val="002C16DB"/>
    <w:rsid w:val="002C54EA"/>
    <w:rsid w:val="002D62D1"/>
    <w:rsid w:val="002E4E83"/>
    <w:rsid w:val="002F1A5B"/>
    <w:rsid w:val="002F5193"/>
    <w:rsid w:val="00305C83"/>
    <w:rsid w:val="003073CE"/>
    <w:rsid w:val="003247D7"/>
    <w:rsid w:val="00326E5E"/>
    <w:rsid w:val="00331CD7"/>
    <w:rsid w:val="003322E0"/>
    <w:rsid w:val="0036175C"/>
    <w:rsid w:val="00372AB8"/>
    <w:rsid w:val="00373651"/>
    <w:rsid w:val="00381D0A"/>
    <w:rsid w:val="00392059"/>
    <w:rsid w:val="003A3BE0"/>
    <w:rsid w:val="003A5966"/>
    <w:rsid w:val="003A5ACD"/>
    <w:rsid w:val="003B59B0"/>
    <w:rsid w:val="003B6B1B"/>
    <w:rsid w:val="003C2FB3"/>
    <w:rsid w:val="003D1783"/>
    <w:rsid w:val="003E3594"/>
    <w:rsid w:val="003E62A5"/>
    <w:rsid w:val="003F28F8"/>
    <w:rsid w:val="003F655D"/>
    <w:rsid w:val="003F7C57"/>
    <w:rsid w:val="00407C66"/>
    <w:rsid w:val="0042223C"/>
    <w:rsid w:val="00423B70"/>
    <w:rsid w:val="00430775"/>
    <w:rsid w:val="004308ED"/>
    <w:rsid w:val="004321B8"/>
    <w:rsid w:val="00434C57"/>
    <w:rsid w:val="0043510F"/>
    <w:rsid w:val="00435E74"/>
    <w:rsid w:val="0044237A"/>
    <w:rsid w:val="00444D48"/>
    <w:rsid w:val="00450DF4"/>
    <w:rsid w:val="004551E1"/>
    <w:rsid w:val="004553EE"/>
    <w:rsid w:val="0045629A"/>
    <w:rsid w:val="00457749"/>
    <w:rsid w:val="00457CCC"/>
    <w:rsid w:val="0046111D"/>
    <w:rsid w:val="00480130"/>
    <w:rsid w:val="00482A22"/>
    <w:rsid w:val="00484E97"/>
    <w:rsid w:val="00490C13"/>
    <w:rsid w:val="004A1EF8"/>
    <w:rsid w:val="004A2532"/>
    <w:rsid w:val="004A51A1"/>
    <w:rsid w:val="004C066B"/>
    <w:rsid w:val="004C0900"/>
    <w:rsid w:val="004D1368"/>
    <w:rsid w:val="004E1BC2"/>
    <w:rsid w:val="004E2CBE"/>
    <w:rsid w:val="004E60B1"/>
    <w:rsid w:val="004F5021"/>
    <w:rsid w:val="004F697B"/>
    <w:rsid w:val="00502B87"/>
    <w:rsid w:val="005051A2"/>
    <w:rsid w:val="00506767"/>
    <w:rsid w:val="00515A84"/>
    <w:rsid w:val="005226C0"/>
    <w:rsid w:val="0052358D"/>
    <w:rsid w:val="00545E07"/>
    <w:rsid w:val="005465E4"/>
    <w:rsid w:val="00546977"/>
    <w:rsid w:val="00551B81"/>
    <w:rsid w:val="00553FC5"/>
    <w:rsid w:val="0056434F"/>
    <w:rsid w:val="00567451"/>
    <w:rsid w:val="00572CC9"/>
    <w:rsid w:val="0057337F"/>
    <w:rsid w:val="005830F0"/>
    <w:rsid w:val="00591FDF"/>
    <w:rsid w:val="00596D9B"/>
    <w:rsid w:val="005A4237"/>
    <w:rsid w:val="005B5219"/>
    <w:rsid w:val="005C21E0"/>
    <w:rsid w:val="005D0DE0"/>
    <w:rsid w:val="005D3B6D"/>
    <w:rsid w:val="005D52F4"/>
    <w:rsid w:val="005D5FD2"/>
    <w:rsid w:val="005E471A"/>
    <w:rsid w:val="005E603C"/>
    <w:rsid w:val="005E6F62"/>
    <w:rsid w:val="005F1280"/>
    <w:rsid w:val="005F4E90"/>
    <w:rsid w:val="0060577B"/>
    <w:rsid w:val="00612F72"/>
    <w:rsid w:val="00614439"/>
    <w:rsid w:val="00614CED"/>
    <w:rsid w:val="00621E49"/>
    <w:rsid w:val="00625013"/>
    <w:rsid w:val="0062517A"/>
    <w:rsid w:val="00633963"/>
    <w:rsid w:val="00645684"/>
    <w:rsid w:val="006521D1"/>
    <w:rsid w:val="00691599"/>
    <w:rsid w:val="00696EFC"/>
    <w:rsid w:val="006D4D88"/>
    <w:rsid w:val="006E2C31"/>
    <w:rsid w:val="006E47E6"/>
    <w:rsid w:val="006E7BB9"/>
    <w:rsid w:val="006F0670"/>
    <w:rsid w:val="007016E9"/>
    <w:rsid w:val="00720D4B"/>
    <w:rsid w:val="00721FF3"/>
    <w:rsid w:val="007234A3"/>
    <w:rsid w:val="007261D0"/>
    <w:rsid w:val="00755DED"/>
    <w:rsid w:val="00756DFD"/>
    <w:rsid w:val="00781980"/>
    <w:rsid w:val="00783555"/>
    <w:rsid w:val="00784CE5"/>
    <w:rsid w:val="00794284"/>
    <w:rsid w:val="007A6040"/>
    <w:rsid w:val="007B1F17"/>
    <w:rsid w:val="007B2150"/>
    <w:rsid w:val="007B672A"/>
    <w:rsid w:val="007C4937"/>
    <w:rsid w:val="007D33BC"/>
    <w:rsid w:val="007D3718"/>
    <w:rsid w:val="007D5DAC"/>
    <w:rsid w:val="007D635B"/>
    <w:rsid w:val="007E04EB"/>
    <w:rsid w:val="007E4612"/>
    <w:rsid w:val="007F1330"/>
    <w:rsid w:val="007F19A9"/>
    <w:rsid w:val="007F2C92"/>
    <w:rsid w:val="00817E27"/>
    <w:rsid w:val="00820E7C"/>
    <w:rsid w:val="00821F7E"/>
    <w:rsid w:val="00822DA9"/>
    <w:rsid w:val="00825FB6"/>
    <w:rsid w:val="00835FD8"/>
    <w:rsid w:val="00846394"/>
    <w:rsid w:val="0085258D"/>
    <w:rsid w:val="0085419A"/>
    <w:rsid w:val="008600CE"/>
    <w:rsid w:val="008616EA"/>
    <w:rsid w:val="00865A61"/>
    <w:rsid w:val="00873B6F"/>
    <w:rsid w:val="00876BB1"/>
    <w:rsid w:val="00892DC1"/>
    <w:rsid w:val="008947DF"/>
    <w:rsid w:val="008A69FA"/>
    <w:rsid w:val="008A74D7"/>
    <w:rsid w:val="008B069B"/>
    <w:rsid w:val="008B16FE"/>
    <w:rsid w:val="008B2403"/>
    <w:rsid w:val="008B53FC"/>
    <w:rsid w:val="008D6BE2"/>
    <w:rsid w:val="008D7E9A"/>
    <w:rsid w:val="008E35B9"/>
    <w:rsid w:val="008F0B32"/>
    <w:rsid w:val="0091280C"/>
    <w:rsid w:val="00920278"/>
    <w:rsid w:val="00923D90"/>
    <w:rsid w:val="00925B03"/>
    <w:rsid w:val="00930389"/>
    <w:rsid w:val="00940C11"/>
    <w:rsid w:val="00943F92"/>
    <w:rsid w:val="00947AA5"/>
    <w:rsid w:val="00962119"/>
    <w:rsid w:val="009643B0"/>
    <w:rsid w:val="00966DB6"/>
    <w:rsid w:val="00970D66"/>
    <w:rsid w:val="00973309"/>
    <w:rsid w:val="0098082E"/>
    <w:rsid w:val="00980D92"/>
    <w:rsid w:val="009838AE"/>
    <w:rsid w:val="00992940"/>
    <w:rsid w:val="00995717"/>
    <w:rsid w:val="00995791"/>
    <w:rsid w:val="0099688E"/>
    <w:rsid w:val="0099757B"/>
    <w:rsid w:val="009A08EE"/>
    <w:rsid w:val="009A5997"/>
    <w:rsid w:val="009B73D6"/>
    <w:rsid w:val="009D118A"/>
    <w:rsid w:val="009D2A19"/>
    <w:rsid w:val="009D60B6"/>
    <w:rsid w:val="009D718A"/>
    <w:rsid w:val="009D7684"/>
    <w:rsid w:val="009E437B"/>
    <w:rsid w:val="009F5F68"/>
    <w:rsid w:val="00A05A01"/>
    <w:rsid w:val="00A11819"/>
    <w:rsid w:val="00A14D33"/>
    <w:rsid w:val="00A32296"/>
    <w:rsid w:val="00A32C16"/>
    <w:rsid w:val="00A348B9"/>
    <w:rsid w:val="00A4270E"/>
    <w:rsid w:val="00A524AE"/>
    <w:rsid w:val="00A72B52"/>
    <w:rsid w:val="00A73DDA"/>
    <w:rsid w:val="00A770F1"/>
    <w:rsid w:val="00A82E1D"/>
    <w:rsid w:val="00A857C7"/>
    <w:rsid w:val="00A862A1"/>
    <w:rsid w:val="00A90A27"/>
    <w:rsid w:val="00A9160C"/>
    <w:rsid w:val="00AA3021"/>
    <w:rsid w:val="00AA3ECE"/>
    <w:rsid w:val="00AB2577"/>
    <w:rsid w:val="00AB6EB8"/>
    <w:rsid w:val="00AC6A0B"/>
    <w:rsid w:val="00B164EB"/>
    <w:rsid w:val="00B23233"/>
    <w:rsid w:val="00B3730E"/>
    <w:rsid w:val="00B436E7"/>
    <w:rsid w:val="00B51406"/>
    <w:rsid w:val="00B77806"/>
    <w:rsid w:val="00B925E5"/>
    <w:rsid w:val="00BA31EA"/>
    <w:rsid w:val="00BB00CF"/>
    <w:rsid w:val="00BB1F25"/>
    <w:rsid w:val="00BB2322"/>
    <w:rsid w:val="00BB2C4B"/>
    <w:rsid w:val="00BB40BC"/>
    <w:rsid w:val="00BC1F3E"/>
    <w:rsid w:val="00BC521E"/>
    <w:rsid w:val="00BC5BB8"/>
    <w:rsid w:val="00BD2267"/>
    <w:rsid w:val="00BD2922"/>
    <w:rsid w:val="00BD31EE"/>
    <w:rsid w:val="00BD6C35"/>
    <w:rsid w:val="00BE344E"/>
    <w:rsid w:val="00BF031D"/>
    <w:rsid w:val="00BF13D5"/>
    <w:rsid w:val="00BF63B4"/>
    <w:rsid w:val="00C06626"/>
    <w:rsid w:val="00C15BED"/>
    <w:rsid w:val="00C2003E"/>
    <w:rsid w:val="00C22544"/>
    <w:rsid w:val="00C23507"/>
    <w:rsid w:val="00C2531B"/>
    <w:rsid w:val="00C30B88"/>
    <w:rsid w:val="00C435B9"/>
    <w:rsid w:val="00C4601E"/>
    <w:rsid w:val="00C467B2"/>
    <w:rsid w:val="00C4791E"/>
    <w:rsid w:val="00C52003"/>
    <w:rsid w:val="00C615E2"/>
    <w:rsid w:val="00C63C5E"/>
    <w:rsid w:val="00C67598"/>
    <w:rsid w:val="00C76C9C"/>
    <w:rsid w:val="00CA0662"/>
    <w:rsid w:val="00CA51F7"/>
    <w:rsid w:val="00CA7FF5"/>
    <w:rsid w:val="00CB7B58"/>
    <w:rsid w:val="00CC6CF9"/>
    <w:rsid w:val="00CD2DEF"/>
    <w:rsid w:val="00CD7E43"/>
    <w:rsid w:val="00CE0F3C"/>
    <w:rsid w:val="00CE17C5"/>
    <w:rsid w:val="00CE55BF"/>
    <w:rsid w:val="00CF7518"/>
    <w:rsid w:val="00D0707A"/>
    <w:rsid w:val="00D1557A"/>
    <w:rsid w:val="00D16658"/>
    <w:rsid w:val="00D479CD"/>
    <w:rsid w:val="00D47E6E"/>
    <w:rsid w:val="00D53F13"/>
    <w:rsid w:val="00D6072E"/>
    <w:rsid w:val="00D64D9C"/>
    <w:rsid w:val="00D72FA7"/>
    <w:rsid w:val="00D745AF"/>
    <w:rsid w:val="00D834B0"/>
    <w:rsid w:val="00D85774"/>
    <w:rsid w:val="00D91A8B"/>
    <w:rsid w:val="00D9333B"/>
    <w:rsid w:val="00DA3759"/>
    <w:rsid w:val="00DA5271"/>
    <w:rsid w:val="00DA7864"/>
    <w:rsid w:val="00DB542E"/>
    <w:rsid w:val="00DD2A71"/>
    <w:rsid w:val="00DD7C93"/>
    <w:rsid w:val="00E00A1A"/>
    <w:rsid w:val="00E0481E"/>
    <w:rsid w:val="00E116BD"/>
    <w:rsid w:val="00E11A96"/>
    <w:rsid w:val="00E23EC6"/>
    <w:rsid w:val="00E24924"/>
    <w:rsid w:val="00E261AB"/>
    <w:rsid w:val="00E346E4"/>
    <w:rsid w:val="00E519FF"/>
    <w:rsid w:val="00E56736"/>
    <w:rsid w:val="00E65818"/>
    <w:rsid w:val="00E6656A"/>
    <w:rsid w:val="00E73448"/>
    <w:rsid w:val="00E7448F"/>
    <w:rsid w:val="00E744DA"/>
    <w:rsid w:val="00E76AE5"/>
    <w:rsid w:val="00E840CC"/>
    <w:rsid w:val="00EA16EE"/>
    <w:rsid w:val="00EB113E"/>
    <w:rsid w:val="00EB4382"/>
    <w:rsid w:val="00EC5EC2"/>
    <w:rsid w:val="00EE1377"/>
    <w:rsid w:val="00EE3842"/>
    <w:rsid w:val="00EE7C10"/>
    <w:rsid w:val="00F002CF"/>
    <w:rsid w:val="00F01BC0"/>
    <w:rsid w:val="00F04721"/>
    <w:rsid w:val="00F05F91"/>
    <w:rsid w:val="00F12E35"/>
    <w:rsid w:val="00F15567"/>
    <w:rsid w:val="00F1615D"/>
    <w:rsid w:val="00F2173E"/>
    <w:rsid w:val="00F33A89"/>
    <w:rsid w:val="00F412C6"/>
    <w:rsid w:val="00F42518"/>
    <w:rsid w:val="00F42C52"/>
    <w:rsid w:val="00F43612"/>
    <w:rsid w:val="00F45BAC"/>
    <w:rsid w:val="00F66CEE"/>
    <w:rsid w:val="00F72750"/>
    <w:rsid w:val="00F75F2B"/>
    <w:rsid w:val="00F82830"/>
    <w:rsid w:val="00F83653"/>
    <w:rsid w:val="00F97531"/>
    <w:rsid w:val="00FA0B20"/>
    <w:rsid w:val="00FA7D33"/>
    <w:rsid w:val="00FC1A9D"/>
    <w:rsid w:val="00FC53B2"/>
    <w:rsid w:val="00FD56EB"/>
    <w:rsid w:val="00FD5A59"/>
    <w:rsid w:val="00FD7B26"/>
    <w:rsid w:val="00FE248F"/>
    <w:rsid w:val="00FE281F"/>
    <w:rsid w:val="00FE4CC7"/>
    <w:rsid w:val="00FF2155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844B"/>
  <w15:chartTrackingRefBased/>
  <w15:docId w15:val="{4D6A50F8-E14B-42B6-95DB-0585CE6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uiPriority="19" w:qFormat="1"/>
    <w:lsdException w:name="List Number" w:uiPriority="2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/>
    <w:lsdException w:name="Intense Emphasis" w:semiHidden="1" w:uiPriority="22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1B"/>
    <w:pPr>
      <w:spacing w:after="120"/>
    </w:pPr>
    <w:rPr>
      <w:sz w:val="18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8A69FA"/>
    <w:pPr>
      <w:keepNext/>
      <w:outlineLvl w:val="0"/>
    </w:pPr>
    <w:rPr>
      <w:rFonts w:ascii="Arial Bold" w:hAnsi="Arial Bold"/>
      <w:b/>
      <w:bCs/>
      <w:caps/>
      <w:color w:val="0F2D5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296905"/>
    <w:pPr>
      <w:keepNext/>
      <w:spacing w:before="120"/>
      <w:outlineLvl w:val="1"/>
    </w:pPr>
    <w:rPr>
      <w:rFonts w:eastAsiaTheme="minorHAnsi"/>
      <w:b/>
      <w:bCs/>
      <w:iCs/>
      <w:color w:val="72B1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296905"/>
    <w:pPr>
      <w:keepNext/>
      <w:spacing w:before="240" w:line="259" w:lineRule="auto"/>
      <w:outlineLvl w:val="2"/>
    </w:pPr>
    <w:rPr>
      <w:b/>
      <w:bCs/>
      <w:color w:val="0F2D52"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LSTable">
    <w:name w:val="QLS Table"/>
    <w:basedOn w:val="TableNormal"/>
    <w:uiPriority w:val="99"/>
    <w:rsid w:val="00D85774"/>
    <w:rPr>
      <w:sz w:val="18"/>
    </w:rPr>
    <w:tblPr>
      <w:tblStyleRowBandSize w:val="1"/>
      <w:tblInd w:w="113" w:type="dxa"/>
      <w:tblBorders>
        <w:bottom w:val="single" w:sz="4" w:space="0" w:color="BFBFBF"/>
        <w:insideH w:val="single" w:sz="4" w:space="0" w:color="BFBFBF"/>
        <w:insideV w:val="single" w:sz="4" w:space="0" w:color="BFBFBF"/>
      </w:tblBorders>
      <w:tblCellMar>
        <w:top w:w="113" w:type="dxa"/>
        <w:left w:w="113" w:type="dxa"/>
        <w:right w:w="113" w:type="dxa"/>
      </w:tblCellMar>
    </w:tblPr>
    <w:tcPr>
      <w:noWrap/>
    </w:tcPr>
    <w:tblStylePr w:type="firstRow">
      <w:rPr>
        <w:rFonts w:ascii="Arial" w:hAnsi="Arial"/>
        <w:b/>
        <w:sz w:val="18"/>
      </w:rPr>
      <w:tblPr/>
      <w:tcPr>
        <w:shd w:val="clear" w:color="auto" w:fill="D9D9D9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uiPriority w:val="1"/>
    <w:rsid w:val="008A69FA"/>
    <w:rPr>
      <w:rFonts w:ascii="Arial Bold" w:hAnsi="Arial Bold"/>
      <w:b/>
      <w:bCs/>
      <w:caps/>
      <w:color w:val="0F2D52"/>
      <w:kern w:val="32"/>
      <w:sz w:val="52"/>
      <w:szCs w:val="32"/>
      <w:lang w:val="en-AU" w:eastAsia="en-AU"/>
    </w:rPr>
  </w:style>
  <w:style w:type="character" w:customStyle="1" w:styleId="Heading2Char">
    <w:name w:val="Heading 2 Char"/>
    <w:link w:val="Heading2"/>
    <w:uiPriority w:val="2"/>
    <w:rsid w:val="00296905"/>
    <w:rPr>
      <w:rFonts w:eastAsiaTheme="minorHAnsi"/>
      <w:b/>
      <w:bCs/>
      <w:iCs/>
      <w:color w:val="72B1C8"/>
      <w:sz w:val="28"/>
      <w:szCs w:val="28"/>
      <w:lang w:val="en-AU" w:eastAsia="en-AU"/>
    </w:rPr>
  </w:style>
  <w:style w:type="character" w:styleId="Strong">
    <w:name w:val="Strong"/>
    <w:uiPriority w:val="5"/>
    <w:qFormat/>
    <w:rsid w:val="00E76AE5"/>
    <w:rPr>
      <w:b/>
      <w:bCs/>
    </w:rPr>
  </w:style>
  <w:style w:type="character" w:styleId="Emphasis">
    <w:name w:val="Emphasis"/>
    <w:uiPriority w:val="4"/>
    <w:qFormat/>
    <w:rsid w:val="00E76AE5"/>
    <w:rPr>
      <w:i/>
      <w:iCs/>
    </w:rPr>
  </w:style>
  <w:style w:type="paragraph" w:styleId="NoSpacing">
    <w:name w:val="No Spacing"/>
    <w:link w:val="NoSpacingChar"/>
    <w:uiPriority w:val="99"/>
    <w:rsid w:val="00F412C6"/>
    <w:rPr>
      <w:lang w:val="en-AU" w:eastAsia="en-AU"/>
    </w:rPr>
  </w:style>
  <w:style w:type="paragraph" w:styleId="ListBullet">
    <w:name w:val="List Bullet"/>
    <w:basedOn w:val="Body"/>
    <w:uiPriority w:val="19"/>
    <w:qFormat/>
    <w:rsid w:val="00F12E35"/>
    <w:pPr>
      <w:numPr>
        <w:numId w:val="5"/>
      </w:numPr>
    </w:pPr>
    <w:rPr>
      <w:lang w:val="en-US"/>
    </w:rPr>
  </w:style>
  <w:style w:type="paragraph" w:styleId="ListNumber">
    <w:name w:val="List Number"/>
    <w:basedOn w:val="Body"/>
    <w:link w:val="ListNumberChar"/>
    <w:uiPriority w:val="20"/>
    <w:qFormat/>
    <w:rsid w:val="00457CCC"/>
    <w:pPr>
      <w:numPr>
        <w:numId w:val="6"/>
      </w:numPr>
    </w:pPr>
    <w:rPr>
      <w:lang w:val="en-US"/>
    </w:rPr>
  </w:style>
  <w:style w:type="character" w:customStyle="1" w:styleId="Heading3Char">
    <w:name w:val="Heading 3 Char"/>
    <w:link w:val="Heading3"/>
    <w:uiPriority w:val="3"/>
    <w:rsid w:val="00296905"/>
    <w:rPr>
      <w:b/>
      <w:bCs/>
      <w:color w:val="0F2D52"/>
      <w:sz w:val="22"/>
      <w:szCs w:val="26"/>
      <w:lang w:eastAsia="en-AU"/>
    </w:rPr>
  </w:style>
  <w:style w:type="paragraph" w:customStyle="1" w:styleId="NumberedHeading2">
    <w:name w:val="Numbered Heading 2"/>
    <w:basedOn w:val="Normal"/>
    <w:next w:val="Normal"/>
    <w:link w:val="NumberedHeading2Char"/>
    <w:uiPriority w:val="7"/>
    <w:qFormat/>
    <w:rsid w:val="00A73DDA"/>
    <w:pPr>
      <w:numPr>
        <w:ilvl w:val="1"/>
        <w:numId w:val="4"/>
      </w:numPr>
      <w:spacing w:before="240"/>
    </w:pPr>
    <w:rPr>
      <w:b/>
      <w:sz w:val="24"/>
    </w:rPr>
  </w:style>
  <w:style w:type="numbering" w:customStyle="1" w:styleId="QLSMultilevelList">
    <w:name w:val="QLS Multilevel List"/>
    <w:uiPriority w:val="99"/>
    <w:rsid w:val="00A73DDA"/>
    <w:pPr>
      <w:numPr>
        <w:numId w:val="2"/>
      </w:numPr>
    </w:pPr>
  </w:style>
  <w:style w:type="character" w:customStyle="1" w:styleId="NumberedHeading2Char">
    <w:name w:val="Numbered Heading 2 Char"/>
    <w:link w:val="NumberedHeading2"/>
    <w:uiPriority w:val="7"/>
    <w:rsid w:val="00A73DDA"/>
    <w:rPr>
      <w:b/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rsid w:val="00BF63B4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link w:val="Header"/>
    <w:uiPriority w:val="99"/>
    <w:semiHidden/>
    <w:rsid w:val="00BF63B4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0E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3B4"/>
  </w:style>
  <w:style w:type="table" w:customStyle="1" w:styleId="QLSTable2">
    <w:name w:val="QLS Table 2"/>
    <w:basedOn w:val="QLSTable"/>
    <w:uiPriority w:val="99"/>
    <w:rsid w:val="00C4601E"/>
    <w:tblPr/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404040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Tablecontent">
    <w:name w:val="Table content"/>
    <w:next w:val="Normal"/>
    <w:uiPriority w:val="24"/>
    <w:qFormat/>
    <w:rsid w:val="009D118A"/>
    <w:pPr>
      <w:spacing w:after="120"/>
    </w:pPr>
    <w:rPr>
      <w:sz w:val="18"/>
      <w:szCs w:val="18"/>
      <w:lang w:val="en-AU" w:eastAsia="en-AU"/>
    </w:rPr>
  </w:style>
  <w:style w:type="table" w:customStyle="1" w:styleId="QLSTable3">
    <w:name w:val="QLS Table 3"/>
    <w:basedOn w:val="QLSTable"/>
    <w:uiPriority w:val="99"/>
    <w:rsid w:val="00943F92"/>
    <w:tblPr/>
    <w:tblStylePr w:type="firstRow">
      <w:rPr>
        <w:rFonts w:ascii="Arial" w:hAnsi="Arial"/>
        <w:b w:val="0"/>
        <w:sz w:val="18"/>
      </w:rPr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F69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97B"/>
    <w:rPr>
      <w:rFonts w:ascii="Tahoma" w:hAnsi="Tahoma" w:cs="Tahoma"/>
      <w:sz w:val="16"/>
      <w:szCs w:val="16"/>
    </w:rPr>
  </w:style>
  <w:style w:type="paragraph" w:customStyle="1" w:styleId="NumberedHeading1">
    <w:name w:val="Numbered Heading 1"/>
    <w:basedOn w:val="Normal"/>
    <w:next w:val="Normal"/>
    <w:uiPriority w:val="6"/>
    <w:qFormat/>
    <w:rsid w:val="00A73DDA"/>
    <w:pPr>
      <w:numPr>
        <w:numId w:val="4"/>
      </w:numPr>
      <w:spacing w:before="720"/>
    </w:pPr>
    <w:rPr>
      <w:b/>
      <w:sz w:val="32"/>
    </w:rPr>
  </w:style>
  <w:style w:type="character" w:customStyle="1" w:styleId="NoSpacingChar">
    <w:name w:val="No Spacing Char"/>
    <w:link w:val="NoSpacing"/>
    <w:uiPriority w:val="99"/>
    <w:rsid w:val="00EB4382"/>
  </w:style>
  <w:style w:type="paragraph" w:customStyle="1" w:styleId="Style1">
    <w:name w:val="Style1"/>
    <w:basedOn w:val="Normal"/>
    <w:next w:val="Normal"/>
    <w:link w:val="Style1Char"/>
    <w:semiHidden/>
    <w:rsid w:val="00A82E1D"/>
    <w:pPr>
      <w:numPr>
        <w:ilvl w:val="1"/>
        <w:numId w:val="3"/>
      </w:numPr>
    </w:pPr>
  </w:style>
  <w:style w:type="paragraph" w:styleId="TOC1">
    <w:name w:val="toc 1"/>
    <w:basedOn w:val="Normal"/>
    <w:next w:val="Normal"/>
    <w:autoRedefine/>
    <w:uiPriority w:val="39"/>
    <w:qFormat/>
    <w:rsid w:val="00892DC1"/>
    <w:pPr>
      <w:tabs>
        <w:tab w:val="left" w:pos="454"/>
        <w:tab w:val="right" w:leader="dot" w:pos="9639"/>
      </w:tabs>
    </w:pPr>
    <w:rPr>
      <w:b/>
      <w:noProof/>
    </w:rPr>
  </w:style>
  <w:style w:type="character" w:customStyle="1" w:styleId="Style1Char">
    <w:name w:val="Style1 Char"/>
    <w:link w:val="Style1"/>
    <w:semiHidden/>
    <w:rsid w:val="00A82E1D"/>
    <w:rPr>
      <w:sz w:val="18"/>
      <w:lang w:val="en-AU" w:eastAsia="en-AU"/>
    </w:rPr>
  </w:style>
  <w:style w:type="paragraph" w:styleId="TOC2">
    <w:name w:val="toc 2"/>
    <w:basedOn w:val="TOC1"/>
    <w:next w:val="Normal"/>
    <w:autoRedefine/>
    <w:uiPriority w:val="39"/>
    <w:qFormat/>
    <w:rsid w:val="00821F7E"/>
    <w:pPr>
      <w:tabs>
        <w:tab w:val="clear" w:pos="454"/>
        <w:tab w:val="left" w:pos="1021"/>
      </w:tabs>
      <w:ind w:left="454"/>
    </w:pPr>
    <w:rPr>
      <w:b w:val="0"/>
    </w:rPr>
  </w:style>
  <w:style w:type="character" w:styleId="Hyperlink">
    <w:name w:val="Hyperlink"/>
    <w:unhideWhenUsed/>
    <w:rsid w:val="00EA16EE"/>
    <w:rPr>
      <w:color w:val="0F2D52"/>
      <w:u w:val="single"/>
    </w:rPr>
  </w:style>
  <w:style w:type="paragraph" w:customStyle="1" w:styleId="NumberedHeading3">
    <w:name w:val="Numbered Heading 3"/>
    <w:basedOn w:val="NumberedHeading2"/>
    <w:next w:val="Normal"/>
    <w:link w:val="NumberedHeading3Char"/>
    <w:uiPriority w:val="8"/>
    <w:qFormat/>
    <w:rsid w:val="00A73DDA"/>
    <w:pPr>
      <w:numPr>
        <w:ilvl w:val="2"/>
      </w:numPr>
    </w:pPr>
    <w:rPr>
      <w:b w:val="0"/>
      <w:i/>
      <w:sz w:val="20"/>
    </w:rPr>
  </w:style>
  <w:style w:type="paragraph" w:customStyle="1" w:styleId="IndentedNormal">
    <w:name w:val="Indented Normal"/>
    <w:basedOn w:val="Normal"/>
    <w:next w:val="Normal"/>
    <w:link w:val="IndentedNormalChar"/>
    <w:semiHidden/>
    <w:qFormat/>
    <w:rsid w:val="0036175C"/>
  </w:style>
  <w:style w:type="character" w:customStyle="1" w:styleId="NumberedHeading3Char">
    <w:name w:val="Numbered Heading 3 Char"/>
    <w:link w:val="NumberedHeading3"/>
    <w:uiPriority w:val="8"/>
    <w:rsid w:val="00A73DDA"/>
    <w:rPr>
      <w:i/>
      <w:lang w:val="en-AU" w:eastAsia="en-AU"/>
    </w:rPr>
  </w:style>
  <w:style w:type="character" w:customStyle="1" w:styleId="IndentedNormalChar">
    <w:name w:val="Indented Normal Char"/>
    <w:basedOn w:val="DefaultParagraphFont"/>
    <w:link w:val="IndentedNormal"/>
    <w:semiHidden/>
    <w:rsid w:val="00A82E1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2F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434C57"/>
    <w:pPr>
      <w:tabs>
        <w:tab w:val="clear" w:pos="1021"/>
        <w:tab w:val="left" w:pos="1814"/>
      </w:tabs>
      <w:spacing w:after="100" w:line="276" w:lineRule="auto"/>
      <w:ind w:left="1021"/>
    </w:pPr>
    <w:rPr>
      <w:rFonts w:eastAsia="MS Mincho" w:cs="Arial"/>
      <w:szCs w:val="22"/>
      <w:lang w:val="en-US" w:eastAsia="ja-JP"/>
    </w:rPr>
  </w:style>
  <w:style w:type="paragraph" w:customStyle="1" w:styleId="BasicParagraph">
    <w:name w:val="[Basic Paragraph]"/>
    <w:basedOn w:val="Normal"/>
    <w:uiPriority w:val="99"/>
    <w:rsid w:val="00E23E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US"/>
    </w:rPr>
  </w:style>
  <w:style w:type="paragraph" w:customStyle="1" w:styleId="Body">
    <w:name w:val="Body"/>
    <w:basedOn w:val="Normal"/>
    <w:link w:val="BodyChar"/>
    <w:autoRedefine/>
    <w:qFormat/>
    <w:rsid w:val="00995717"/>
    <w:pPr>
      <w:spacing w:after="100" w:line="259" w:lineRule="auto"/>
    </w:pPr>
    <w:rPr>
      <w:rFonts w:eastAsiaTheme="minorHAnsi" w:cs="Arial"/>
      <w:color w:val="404040" w:themeColor="text1" w:themeTint="BF"/>
      <w:szCs w:val="18"/>
      <w:lang w:eastAsia="en-US"/>
    </w:rPr>
  </w:style>
  <w:style w:type="character" w:customStyle="1" w:styleId="BodyChar">
    <w:name w:val="Body Char"/>
    <w:link w:val="Body"/>
    <w:rsid w:val="00995717"/>
    <w:rPr>
      <w:rFonts w:eastAsiaTheme="minorHAnsi" w:cs="Arial"/>
      <w:color w:val="404040" w:themeColor="text1" w:themeTint="BF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0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A16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6EE"/>
    <w:pPr>
      <w:spacing w:after="0"/>
    </w:pPr>
    <w:rPr>
      <w:rFonts w:ascii="Arial Narrow" w:hAnsi="Arial Narrow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A16EE"/>
    <w:rPr>
      <w:rFonts w:ascii="Arial Narrow" w:hAnsi="Arial Narrow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6EE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6EE"/>
    <w:rPr>
      <w:rFonts w:ascii="Arial Narrow" w:hAnsi="Arial Narrow"/>
      <w:b/>
      <w:bCs/>
      <w:lang w:val="en-AU" w:eastAsia="en-AU"/>
    </w:rPr>
  </w:style>
  <w:style w:type="paragraph" w:customStyle="1" w:styleId="Listletters">
    <w:name w:val="List letters"/>
    <w:basedOn w:val="ListNumber"/>
    <w:link w:val="ListlettersChar"/>
    <w:qFormat/>
    <w:rsid w:val="00457CCC"/>
    <w:pPr>
      <w:numPr>
        <w:numId w:val="1"/>
      </w:numPr>
      <w:ind w:left="284" w:hanging="284"/>
    </w:pPr>
  </w:style>
  <w:style w:type="character" w:customStyle="1" w:styleId="ListNumberChar">
    <w:name w:val="List Number Char"/>
    <w:basedOn w:val="BodyChar"/>
    <w:link w:val="ListNumber"/>
    <w:uiPriority w:val="20"/>
    <w:rsid w:val="00457CCC"/>
    <w:rPr>
      <w:rFonts w:eastAsiaTheme="minorHAnsi" w:cs="Arial"/>
      <w:color w:val="404040" w:themeColor="text1" w:themeTint="BF"/>
      <w:sz w:val="18"/>
      <w:szCs w:val="18"/>
      <w:lang w:val="en-AU"/>
    </w:rPr>
  </w:style>
  <w:style w:type="character" w:customStyle="1" w:styleId="ListlettersChar">
    <w:name w:val="List letters Char"/>
    <w:basedOn w:val="ListNumberChar"/>
    <w:link w:val="Listletters"/>
    <w:rsid w:val="00457CCC"/>
    <w:rPr>
      <w:rFonts w:eastAsiaTheme="minorHAnsi" w:cs="Arial"/>
      <w:color w:val="404040" w:themeColor="text1" w:themeTint="BF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8616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4A2532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A74D7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568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37B"/>
    <w:pPr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37B"/>
    <w:rPr>
      <w:rFonts w:asciiTheme="minorHAnsi" w:eastAsiaTheme="minorHAnsi" w:hAnsiTheme="minorHAnsi" w:cstheme="minorBidi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E437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A5997"/>
    <w:pPr>
      <w:spacing w:before="100" w:after="100"/>
    </w:pPr>
    <w:rPr>
      <w:rFonts w:ascii="Arial" w:hAnsi="Arial"/>
      <w:sz w:val="14"/>
    </w:rPr>
  </w:style>
  <w:style w:type="character" w:customStyle="1" w:styleId="FootnotesChar">
    <w:name w:val="Footnotes Char"/>
    <w:basedOn w:val="FootnoteTextChar"/>
    <w:link w:val="Footnotes"/>
    <w:rsid w:val="009A5997"/>
    <w:rPr>
      <w:rFonts w:asciiTheme="minorHAnsi" w:eastAsiaTheme="minorHAnsi" w:hAnsiTheme="minorHAnsi" w:cstheme="minorBidi"/>
      <w:sz w:val="14"/>
      <w:lang w:val="en-AU"/>
    </w:rPr>
  </w:style>
  <w:style w:type="paragraph" w:styleId="Revision">
    <w:name w:val="Revision"/>
    <w:hidden/>
    <w:uiPriority w:val="99"/>
    <w:semiHidden/>
    <w:rsid w:val="003C2FB3"/>
    <w:rPr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639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strac.gov.au/government-and-partners/service-providers/regtech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rac.gov.au/industry-and-business/obligations-and-guidance/program-starter-kits/legal-profession-program-starter-kit/legal-profession-program-starter-kit-getting-started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AFD425A6614F75A67F0647F431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CEA6-9DAC-484A-99FE-95C3F27D72FF}"/>
      </w:docPartPr>
      <w:docPartBody>
        <w:p w:rsidR="007E252B" w:rsidRDefault="00E460D0" w:rsidP="00E460D0">
          <w:pPr>
            <w:pStyle w:val="C2AFD425A6614F75A67F0647F43164B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E094FFBF04B7EBC193968925B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9D7F-CB35-4616-A611-4860CAE9FB9B}"/>
      </w:docPartPr>
      <w:docPartBody>
        <w:p w:rsidR="007E252B" w:rsidRDefault="00E460D0" w:rsidP="00E460D0">
          <w:pPr>
            <w:pStyle w:val="859E094FFBF04B7EBC193968925B1F14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31487573A44D792CD8B9D13D7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BBD2-F42F-4676-BF44-24938D403894}"/>
      </w:docPartPr>
      <w:docPartBody>
        <w:p w:rsidR="007E252B" w:rsidRDefault="00E460D0" w:rsidP="00E460D0">
          <w:pPr>
            <w:pStyle w:val="BE831487573A44D792CD8B9D13D77932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EB29DB6E14911975AD79213EF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CCE0-4807-4D11-A395-0EDBE6949E22}"/>
      </w:docPartPr>
      <w:docPartBody>
        <w:p w:rsidR="007E252B" w:rsidRDefault="00E460D0" w:rsidP="00E460D0">
          <w:pPr>
            <w:pStyle w:val="8D7EB29DB6E14911975AD79213EFD05B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56D4C98D842DD90CA8074914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05A9-CB2E-4552-A9F8-E6391734949D}"/>
      </w:docPartPr>
      <w:docPartBody>
        <w:p w:rsidR="007E252B" w:rsidRDefault="00E460D0" w:rsidP="00E460D0">
          <w:pPr>
            <w:pStyle w:val="D3156D4C98D842DD90CA8074914A4B0E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8317C6030452D85B6C2FB12BA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CA86-ED3E-43D1-AB7E-5BE972B3DC8F}"/>
      </w:docPartPr>
      <w:docPartBody>
        <w:p w:rsidR="007E252B" w:rsidRDefault="00E460D0" w:rsidP="00E460D0">
          <w:pPr>
            <w:pStyle w:val="9348317C6030452D85B6C2FB12BA8CB21"/>
          </w:pPr>
          <w:r w:rsidRPr="003B6B1B">
            <w:rPr>
              <w:rStyle w:val="PlaceholderText"/>
              <w:rFonts w:cs="Arial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862C871203F4AE5A0794100C04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E96D-8C49-435F-B288-67D57544D045}"/>
      </w:docPartPr>
      <w:docPartBody>
        <w:p w:rsidR="007E252B" w:rsidRDefault="00E460D0" w:rsidP="00E460D0">
          <w:pPr>
            <w:pStyle w:val="1862C871203F4AE5A0794100C047B85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F100F9619422DB022B3FA0BF9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C49F-FF5E-4450-9E8A-AA4CAE33089B}"/>
      </w:docPartPr>
      <w:docPartBody>
        <w:p w:rsidR="007E252B" w:rsidRDefault="00E460D0" w:rsidP="00E460D0">
          <w:pPr>
            <w:pStyle w:val="223F100F9619422DB022B3FA0BF9FD6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4971D64B246D09DCBA003F941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2C30-0450-4311-9097-0D77C6F95CEF}"/>
      </w:docPartPr>
      <w:docPartBody>
        <w:p w:rsidR="007E252B" w:rsidRDefault="00E460D0" w:rsidP="00E460D0">
          <w:pPr>
            <w:pStyle w:val="2DE4971D64B246D09DCBA003F941E14A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9B62234564088AFE6888B2A3D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F68EC-65F9-49EE-863C-8C381FAA8A9D}"/>
      </w:docPartPr>
      <w:docPartBody>
        <w:p w:rsidR="007E252B" w:rsidRDefault="00E460D0" w:rsidP="00E460D0">
          <w:pPr>
            <w:pStyle w:val="CEC9B62234564088AFE6888B2A3D4443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41CFC787B414896DFD23B1793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CBF1-A651-44CD-8970-EF9D2812C4EA}"/>
      </w:docPartPr>
      <w:docPartBody>
        <w:p w:rsidR="007E252B" w:rsidRDefault="00E460D0" w:rsidP="00E460D0">
          <w:pPr>
            <w:pStyle w:val="0D441CFC787B414896DFD23B1793B7B7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17C1A9569417EAB9E4E4881C6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DD7D-16CD-44B8-BFD6-4C125E6EA52D}"/>
      </w:docPartPr>
      <w:docPartBody>
        <w:p w:rsidR="007E252B" w:rsidRDefault="00E460D0" w:rsidP="00E460D0">
          <w:pPr>
            <w:pStyle w:val="ED817C1A9569417EAB9E4E4881C675A4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A97A633E04F68837B2EEF3D50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56C8-B3E7-4FD4-8BFF-9FA7EB4FF948}"/>
      </w:docPartPr>
      <w:docPartBody>
        <w:p w:rsidR="007E252B" w:rsidRDefault="00E460D0" w:rsidP="00E460D0">
          <w:pPr>
            <w:pStyle w:val="5FBA97A633E04F68837B2EEF3D508743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FDDBA6980423AA4F34E2B9DF3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22EA-C20F-4F94-A5C1-7A7A6741F1B4}"/>
      </w:docPartPr>
      <w:docPartBody>
        <w:p w:rsidR="007E252B" w:rsidRDefault="00E460D0" w:rsidP="00E460D0">
          <w:pPr>
            <w:pStyle w:val="327FDDBA6980423AA4F34E2B9DF3F610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64806F05746289646FCB2FD78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238F-0565-4530-8B40-FD4AC7CD5F50}"/>
      </w:docPartPr>
      <w:docPartBody>
        <w:p w:rsidR="007E252B" w:rsidRDefault="00E460D0" w:rsidP="00E460D0">
          <w:pPr>
            <w:pStyle w:val="D2764806F05746289646FCB2FD78C16F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53F8D9EA64D41A1311C7B7D1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12456-35DD-4910-A293-238437D9BBA5}"/>
      </w:docPartPr>
      <w:docPartBody>
        <w:p w:rsidR="007E252B" w:rsidRDefault="00E460D0" w:rsidP="00E460D0">
          <w:pPr>
            <w:pStyle w:val="15653F8D9EA64D41A1311C7B7D1AB5CF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5D22ADFF74E4AB758CF2CBC180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C8D8-4CC3-4471-BECF-B5F8ECA3490A}"/>
      </w:docPartPr>
      <w:docPartBody>
        <w:p w:rsidR="007E252B" w:rsidRDefault="00E460D0" w:rsidP="00E460D0">
          <w:pPr>
            <w:pStyle w:val="FB45D22ADFF74E4AB758CF2CBC18070E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AD647A17643C4A202A43A4751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058E-2DE1-4B27-85A3-3763A19B5183}"/>
      </w:docPartPr>
      <w:docPartBody>
        <w:p w:rsidR="007E252B" w:rsidRDefault="00E460D0" w:rsidP="00E460D0">
          <w:pPr>
            <w:pStyle w:val="E94AD647A17643C4A202A43A475172D5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D0"/>
    <w:rsid w:val="0000291F"/>
    <w:rsid w:val="00372AB8"/>
    <w:rsid w:val="00515A84"/>
    <w:rsid w:val="007E252B"/>
    <w:rsid w:val="00E4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0D0"/>
    <w:rPr>
      <w:color w:val="666666"/>
    </w:rPr>
  </w:style>
  <w:style w:type="paragraph" w:customStyle="1" w:styleId="C2AFD425A6614F75A67F0647F43164B6">
    <w:name w:val="C2AFD425A6614F75A67F0647F43164B6"/>
    <w:rsid w:val="00E460D0"/>
  </w:style>
  <w:style w:type="paragraph" w:customStyle="1" w:styleId="859E094FFBF04B7EBC193968925B1F14">
    <w:name w:val="859E094FFBF04B7EBC193968925B1F14"/>
    <w:rsid w:val="00E460D0"/>
  </w:style>
  <w:style w:type="paragraph" w:customStyle="1" w:styleId="1862C871203F4AE5A0794100C047B856">
    <w:name w:val="1862C871203F4AE5A0794100C047B856"/>
    <w:rsid w:val="00E460D0"/>
  </w:style>
  <w:style w:type="paragraph" w:customStyle="1" w:styleId="BE831487573A44D792CD8B9D13D779321">
    <w:name w:val="BE831487573A44D792CD8B9D13D77932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D7EB29DB6E14911975AD79213EFD05B1">
    <w:name w:val="8D7EB29DB6E14911975AD79213EFD05B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3156D4C98D842DD90CA8074914A4B0E1">
    <w:name w:val="D3156D4C98D842DD90CA8074914A4B0E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348317C6030452D85B6C2FB12BA8CB21">
    <w:name w:val="9348317C6030452D85B6C2FB12BA8CB2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23F100F9619422DB022B3FA0BF9FD66">
    <w:name w:val="223F100F9619422DB022B3FA0BF9FD66"/>
    <w:rsid w:val="00E460D0"/>
  </w:style>
  <w:style w:type="paragraph" w:customStyle="1" w:styleId="2DE4971D64B246D09DCBA003F941E14A">
    <w:name w:val="2DE4971D64B246D09DCBA003F941E14A"/>
    <w:rsid w:val="00E460D0"/>
  </w:style>
  <w:style w:type="paragraph" w:customStyle="1" w:styleId="CEC9B62234564088AFE6888B2A3D4443">
    <w:name w:val="CEC9B62234564088AFE6888B2A3D4443"/>
    <w:rsid w:val="00E460D0"/>
  </w:style>
  <w:style w:type="paragraph" w:customStyle="1" w:styleId="0D441CFC787B414896DFD23B1793B7B7">
    <w:name w:val="0D441CFC787B414896DFD23B1793B7B7"/>
    <w:rsid w:val="00E460D0"/>
  </w:style>
  <w:style w:type="paragraph" w:customStyle="1" w:styleId="ED817C1A9569417EAB9E4E4881C675A4">
    <w:name w:val="ED817C1A9569417EAB9E4E4881C675A4"/>
    <w:rsid w:val="00E460D0"/>
  </w:style>
  <w:style w:type="paragraph" w:customStyle="1" w:styleId="5FBA97A633E04F68837B2EEF3D508743">
    <w:name w:val="5FBA97A633E04F68837B2EEF3D508743"/>
    <w:rsid w:val="00E460D0"/>
  </w:style>
  <w:style w:type="paragraph" w:customStyle="1" w:styleId="327FDDBA6980423AA4F34E2B9DF3F610">
    <w:name w:val="327FDDBA6980423AA4F34E2B9DF3F610"/>
    <w:rsid w:val="00E460D0"/>
  </w:style>
  <w:style w:type="paragraph" w:customStyle="1" w:styleId="D2764806F05746289646FCB2FD78C16F">
    <w:name w:val="D2764806F05746289646FCB2FD78C16F"/>
    <w:rsid w:val="00E460D0"/>
  </w:style>
  <w:style w:type="paragraph" w:customStyle="1" w:styleId="15653F8D9EA64D41A1311C7B7D1AB5CF">
    <w:name w:val="15653F8D9EA64D41A1311C7B7D1AB5CF"/>
    <w:rsid w:val="00E460D0"/>
  </w:style>
  <w:style w:type="paragraph" w:customStyle="1" w:styleId="FB45D22ADFF74E4AB758CF2CBC18070E">
    <w:name w:val="FB45D22ADFF74E4AB758CF2CBC18070E"/>
    <w:rsid w:val="00E460D0"/>
  </w:style>
  <w:style w:type="paragraph" w:customStyle="1" w:styleId="E94AD647A17643C4A202A43A475172D5">
    <w:name w:val="E94AD647A17643C4A202A43A475172D5"/>
    <w:rsid w:val="00E46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5B77-62A7-4E66-BC53-22A839BE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QLS File Closing checklist</vt:lpstr>
    </vt:vector>
  </TitlesOfParts>
  <Company>Queensland Law Society</Company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QLS File Closing checklist</dc:title>
  <dc:subject/>
  <dc:creator>Clint Slogrove</dc:creator>
  <cp:keywords/>
  <cp:lastModifiedBy>Harriet Kendrick</cp:lastModifiedBy>
  <cp:revision>2</cp:revision>
  <cp:lastPrinted>2021-05-11T04:54:00Z</cp:lastPrinted>
  <dcterms:created xsi:type="dcterms:W3CDTF">2026-04-16T22:42:00Z</dcterms:created>
  <dcterms:modified xsi:type="dcterms:W3CDTF">2026-04-16T22:42:00Z</dcterms:modified>
</cp:coreProperties>
</file>