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CD51F" w14:textId="7C3E2503" w:rsidR="00865E2B" w:rsidRDefault="00B35FBA">
      <w:pPr>
        <w:spacing w:after="60"/>
      </w:pPr>
      <w:r>
        <w:rPr>
          <w:b/>
          <w:bCs/>
          <w:color w:val="1F2A44"/>
          <w:sz w:val="28"/>
          <w:szCs w:val="28"/>
        </w:rPr>
        <w:t>DOCUMENT RETENTION – CONSIDERATIONS WHICH INFORM OUR POLICY</w:t>
      </w:r>
    </w:p>
    <w:p w14:paraId="5EC8ECC3" w14:textId="3C00F49D" w:rsidR="00865E2B" w:rsidRDefault="001759CD">
      <w:pPr>
        <w:pBdr>
          <w:bottom w:val="single" w:sz="12" w:space="4" w:color="1F2A44"/>
        </w:pBdr>
        <w:spacing w:after="240"/>
      </w:pPr>
      <w:r>
        <w:rPr>
          <w:i/>
          <w:iCs/>
          <w:color w:val="555555"/>
          <w:sz w:val="18"/>
          <w:szCs w:val="18"/>
        </w:rPr>
        <w:t>Prepared for internal use</w:t>
      </w:r>
    </w:p>
    <w:p w14:paraId="5D2FE142" w14:textId="74BFBF72" w:rsidR="00865E2B" w:rsidRDefault="00B35FBA">
      <w:pPr>
        <w:tabs>
          <w:tab w:val="left" w:pos="1400"/>
        </w:tabs>
        <w:spacing w:after="40"/>
      </w:pPr>
      <w:r w:rsidRPr="00DB54EE">
        <w:rPr>
          <w:b/>
          <w:bCs/>
          <w:highlight w:val="yellow"/>
        </w:rPr>
        <w:t>[FIRM NAME]</w:t>
      </w:r>
    </w:p>
    <w:p w14:paraId="34EBE749" w14:textId="0C218C89" w:rsidR="00865E2B" w:rsidRDefault="00DB54EE">
      <w:pPr>
        <w:tabs>
          <w:tab w:val="left" w:pos="1400"/>
        </w:tabs>
        <w:spacing w:after="40"/>
      </w:pPr>
      <w:r>
        <w:rPr>
          <w:b/>
          <w:bCs/>
        </w:rPr>
        <w:t>Commencement Date:</w:t>
      </w:r>
      <w:r>
        <w:tab/>
      </w:r>
      <w:r w:rsidRPr="00DB54EE">
        <w:rPr>
          <w:highlight w:val="yellow"/>
        </w:rPr>
        <w:t>&lt;</w:t>
      </w:r>
      <w:proofErr w:type="gramStart"/>
      <w:r w:rsidRPr="00DB54EE">
        <w:rPr>
          <w:highlight w:val="yellow"/>
        </w:rPr>
        <w:t>&lt;  &gt;</w:t>
      </w:r>
      <w:proofErr w:type="gramEnd"/>
      <w:r w:rsidRPr="00DB54EE">
        <w:rPr>
          <w:highlight w:val="yellow"/>
        </w:rPr>
        <w:t>&gt;</w:t>
      </w:r>
    </w:p>
    <w:p w14:paraId="2618E0FB" w14:textId="37F62502" w:rsidR="00DB54EE" w:rsidRDefault="00DB54EE">
      <w:pPr>
        <w:tabs>
          <w:tab w:val="left" w:pos="1400"/>
        </w:tabs>
        <w:spacing w:after="40"/>
      </w:pPr>
      <w:r>
        <w:t>Review schedule:</w:t>
      </w:r>
    </w:p>
    <w:p w14:paraId="26D0EAF8" w14:textId="1DFEC595" w:rsidR="00DB54EE" w:rsidRDefault="00DB54EE">
      <w:pPr>
        <w:tabs>
          <w:tab w:val="left" w:pos="1400"/>
        </w:tabs>
        <w:spacing w:after="40"/>
      </w:pPr>
      <w:r>
        <w:t>Approved by:</w:t>
      </w:r>
    </w:p>
    <w:p w14:paraId="09BAE4E4" w14:textId="77777777" w:rsidR="00865E2B" w:rsidRDefault="001759CD">
      <w:pPr>
        <w:pStyle w:val="Heading1"/>
        <w:spacing w:before="240" w:after="160"/>
      </w:pPr>
      <w:r>
        <w:rPr>
          <w:b/>
          <w:bCs/>
          <w:color w:val="1F2A44"/>
        </w:rPr>
        <w:t>1. Summary</w:t>
      </w:r>
    </w:p>
    <w:p w14:paraId="53975477" w14:textId="6E7D3B3C" w:rsidR="00B35FBA" w:rsidRDefault="00B35FBA">
      <w:pPr>
        <w:spacing w:after="120" w:line="300" w:lineRule="auto"/>
      </w:pPr>
      <w:r>
        <w:t xml:space="preserve">In setting this policy we have considered the OAIC’s Privacy Guidance for AML reporting entities, the </w:t>
      </w:r>
      <w:hyperlink r:id="rId8" w:history="1">
        <w:r w:rsidRPr="00B35FBA">
          <w:rPr>
            <w:rStyle w:val="Hyperlink"/>
          </w:rPr>
          <w:t>QLS Client Document Retention Guide</w:t>
        </w:r>
      </w:hyperlink>
      <w:r>
        <w:t xml:space="preserve"> </w:t>
      </w:r>
      <w:r w:rsidR="00DB54EE">
        <w:t>(</w:t>
      </w:r>
      <w:r w:rsidR="00872280">
        <w:t>s</w:t>
      </w:r>
      <w:r w:rsidR="00DB54EE">
        <w:t>ee also LIV guidance)</w:t>
      </w:r>
      <w:r w:rsidR="00DB54EE" w:rsidRPr="00DB54EE">
        <w:rPr>
          <w:rStyle w:val="FootnoteReference"/>
        </w:rPr>
        <w:t xml:space="preserve"> </w:t>
      </w:r>
      <w:r>
        <w:t>and QLS Privacy Compendium (Chapter 12) to balance our statutory and other obligations.</w:t>
      </w:r>
    </w:p>
    <w:p w14:paraId="3D1332A3" w14:textId="5CF49BEA" w:rsidR="00B35FBA" w:rsidRDefault="00B35FBA">
      <w:pPr>
        <w:spacing w:after="120" w:line="300" w:lineRule="auto"/>
      </w:pPr>
      <w:r>
        <w:t xml:space="preserve">The principle adopted is to retain confidential information, and in particular sensitive information for the shortest </w:t>
      </w:r>
      <w:proofErr w:type="gramStart"/>
      <w:r>
        <w:t>period of time</w:t>
      </w:r>
      <w:proofErr w:type="gramEnd"/>
      <w:r>
        <w:t xml:space="preserve"> consistent with our professional obligations.</w:t>
      </w:r>
    </w:p>
    <w:p w14:paraId="7C8698EB" w14:textId="5055D48A" w:rsidR="00B35FBA" w:rsidRPr="00B35FBA" w:rsidRDefault="00B35FBA">
      <w:pPr>
        <w:spacing w:after="120" w:line="300" w:lineRule="auto"/>
        <w:rPr>
          <w:i/>
          <w:iCs/>
        </w:rPr>
      </w:pPr>
      <w:r w:rsidRPr="00B35FBA">
        <w:rPr>
          <w:i/>
          <w:iCs/>
        </w:rPr>
        <w:t>Starting point</w:t>
      </w:r>
    </w:p>
    <w:p w14:paraId="4BDD7C62" w14:textId="00CDB612" w:rsidR="00B35FBA" w:rsidRDefault="001759CD">
      <w:pPr>
        <w:spacing w:after="120" w:line="300" w:lineRule="auto"/>
      </w:pPr>
      <w:r>
        <w:t xml:space="preserve">The starting point is the seven-year </w:t>
      </w:r>
      <w:r w:rsidR="00B35FBA">
        <w:t>minimum retention benchmark (ASCR, Rule 14)</w:t>
      </w:r>
      <w:r>
        <w:t xml:space="preserve"> now reflected in the </w:t>
      </w:r>
      <w:r>
        <w:rPr>
          <w:i/>
          <w:iCs/>
        </w:rPr>
        <w:t>Legal Profession Act 2007</w:t>
      </w:r>
      <w:r>
        <w:t xml:space="preserve"> (Qld) s 713A, which provides a statutory pathway to destroy client documents seven years after completion of a matter.</w:t>
      </w:r>
      <w:r>
        <w:rPr>
          <w:rStyle w:val="FootnoteReference"/>
        </w:rPr>
        <w:footnoteReference w:id="1"/>
      </w:r>
      <w:r>
        <w:t xml:space="preserve"> </w:t>
      </w:r>
    </w:p>
    <w:p w14:paraId="61EBBD8B" w14:textId="3A14480D" w:rsidR="00865E2B" w:rsidRDefault="001759CD">
      <w:pPr>
        <w:spacing w:after="120" w:line="300" w:lineRule="auto"/>
      </w:pPr>
      <w:r>
        <w:t xml:space="preserve">Several overlapping regimes lengthen, shorten or </w:t>
      </w:r>
      <w:r w:rsidR="00B35FBA">
        <w:t>reinforce</w:t>
      </w:r>
      <w:r>
        <w:t xml:space="preserve"> that default in particular cases: trust-account records (seven years under the </w:t>
      </w:r>
      <w:r>
        <w:rPr>
          <w:i/>
          <w:iCs/>
        </w:rPr>
        <w:t>Legal Profession Regulation 2017</w:t>
      </w:r>
      <w:r>
        <w:t xml:space="preserve"> (Qld) and the </w:t>
      </w:r>
      <w:r>
        <w:rPr>
          <w:i/>
          <w:iCs/>
        </w:rPr>
        <w:t>Legal Profession Act 2007</w:t>
      </w:r>
      <w:r>
        <w:t xml:space="preserve"> (Qld)),</w:t>
      </w:r>
      <w:r>
        <w:rPr>
          <w:rStyle w:val="FootnoteReference"/>
        </w:rPr>
        <w:footnoteReference w:id="2"/>
      </w:r>
      <w:r>
        <w:t xml:space="preserve"> AML/CTF records (seven years from the end of the customer relationship or transaction),</w:t>
      </w:r>
      <w:r>
        <w:rPr>
          <w:rStyle w:val="FootnoteReference"/>
        </w:rPr>
        <w:footnoteReference w:id="3"/>
      </w:r>
      <w:r>
        <w:t xml:space="preserve"> Privacy Act obligations to destroy or de-identify personal information when no longer needed,</w:t>
      </w:r>
      <w:r>
        <w:rPr>
          <w:rStyle w:val="FootnoteReference"/>
        </w:rPr>
        <w:footnoteReference w:id="4"/>
      </w:r>
      <w:r>
        <w:t xml:space="preserve"> employment records (seven years),</w:t>
      </w:r>
      <w:r>
        <w:rPr>
          <w:rStyle w:val="FootnoteReference"/>
        </w:rPr>
        <w:footnoteReference w:id="5"/>
      </w:r>
      <w:r>
        <w:t xml:space="preserve"> and corporate and tax records (seven and five years respectively).</w:t>
      </w:r>
      <w:r>
        <w:rPr>
          <w:rStyle w:val="FootnoteReference"/>
        </w:rPr>
        <w:footnoteReference w:id="6"/>
      </w:r>
    </w:p>
    <w:p w14:paraId="2BD3589C" w14:textId="2D27555E" w:rsidR="00865E2B" w:rsidRDefault="001759CD">
      <w:pPr>
        <w:spacing w:after="120" w:line="300" w:lineRule="auto"/>
      </w:pPr>
      <w:r>
        <w:t>The bottom-line position is that a</w:t>
      </w:r>
      <w:r w:rsidR="00C31644">
        <w:t>n appropriate</w:t>
      </w:r>
      <w:r>
        <w:t xml:space="preserve"> retention policy for a small Queensland firm should: (a) adopt seven years from completion of the matter as the default minimum; (b) carve out longer or indefinite retention for original instruments and matters where the limitation clock has not run; (c) align AML/CTF and Privacy Act handling</w:t>
      </w:r>
      <w:r w:rsidR="00B35FBA">
        <w:t>.</w:t>
      </w:r>
      <w:r w:rsidR="00872280">
        <w:t xml:space="preserve"> </w:t>
      </w:r>
      <w:r w:rsidR="00B35FBA">
        <w:t>Full identification documents should not be retained from 31 March 2026</w:t>
      </w:r>
      <w:r w:rsidR="00C31644">
        <w:t xml:space="preserve"> </w:t>
      </w:r>
      <w:r w:rsidR="00C31644" w:rsidRPr="00C31644">
        <w:rPr>
          <w:u w:val="single"/>
        </w:rPr>
        <w:t>unless essential</w:t>
      </w:r>
      <w:r w:rsidR="00B35FBA">
        <w:t xml:space="preserve">; </w:t>
      </w:r>
      <w:r w:rsidR="00B35FBA">
        <w:rPr>
          <w:rStyle w:val="FootnoteReference"/>
        </w:rPr>
        <w:footnoteReference w:id="7"/>
      </w:r>
      <w:r w:rsidR="00B35FBA">
        <w:t xml:space="preserve"> and (d) document destruction decisions and methods.</w:t>
      </w:r>
    </w:p>
    <w:p w14:paraId="65FB2DB7" w14:textId="1508E496" w:rsidR="00865E2B" w:rsidRDefault="001759CD">
      <w:pPr>
        <w:pStyle w:val="Heading1"/>
        <w:spacing w:before="240" w:after="160"/>
      </w:pPr>
      <w:r>
        <w:rPr>
          <w:b/>
          <w:bCs/>
          <w:color w:val="1F2A44"/>
        </w:rPr>
        <w:lastRenderedPageBreak/>
        <w:t xml:space="preserve">2. </w:t>
      </w:r>
      <w:r w:rsidR="00DB54EE">
        <w:rPr>
          <w:b/>
          <w:bCs/>
          <w:color w:val="1F2A44"/>
        </w:rPr>
        <w:t>Our firm – general classes of records considered</w:t>
      </w:r>
    </w:p>
    <w:p w14:paraId="7752126E" w14:textId="77777777" w:rsidR="00DB54EE" w:rsidRDefault="00DB54EE">
      <w:pPr>
        <w:spacing w:after="120" w:line="300" w:lineRule="auto"/>
      </w:pPr>
      <w:r>
        <w:t xml:space="preserve">Our firm holds records regulated by the </w:t>
      </w:r>
      <w:r>
        <w:rPr>
          <w:i/>
          <w:iCs/>
        </w:rPr>
        <w:t>Privacy Act 1988</w:t>
      </w:r>
      <w:r>
        <w:t xml:space="preserve"> (</w:t>
      </w:r>
      <w:proofErr w:type="spellStart"/>
      <w:r>
        <w:t>Cth</w:t>
      </w:r>
      <w:proofErr w:type="spellEnd"/>
      <w:r>
        <w:t>) in respect of personal information collected for AML/CTF purposes (tranche 2 reforms commencing on 1 July 2026).</w:t>
      </w:r>
      <w:r>
        <w:rPr>
          <w:rStyle w:val="FootnoteReference"/>
        </w:rPr>
        <w:footnoteReference w:id="8"/>
      </w:r>
      <w:r>
        <w:t xml:space="preserve"> </w:t>
      </w:r>
    </w:p>
    <w:p w14:paraId="7015A589" w14:textId="445142A3" w:rsidR="00865E2B" w:rsidRDefault="00DB54EE">
      <w:pPr>
        <w:spacing w:after="120" w:line="300" w:lineRule="auto"/>
      </w:pPr>
      <w:r>
        <w:t xml:space="preserve">We also hold general-practice related documents such as </w:t>
      </w:r>
      <w:r w:rsidRPr="00DB54EE">
        <w:rPr>
          <w:highlight w:val="yellow"/>
        </w:rPr>
        <w:t>&lt;&lt; general description &gt;&gt;</w:t>
      </w:r>
    </w:p>
    <w:p w14:paraId="097C73BB" w14:textId="12379B3A" w:rsidR="00865E2B" w:rsidRDefault="001759CD">
      <w:pPr>
        <w:pStyle w:val="Heading1"/>
        <w:spacing w:before="240" w:after="160"/>
      </w:pPr>
      <w:r>
        <w:rPr>
          <w:b/>
          <w:bCs/>
          <w:color w:val="1F2A44"/>
        </w:rPr>
        <w:t xml:space="preserve">3. </w:t>
      </w:r>
      <w:r w:rsidR="00B35FBA">
        <w:rPr>
          <w:b/>
          <w:bCs/>
          <w:color w:val="1F2A44"/>
        </w:rPr>
        <w:t>When do destruction time clocks start to run?</w:t>
      </w:r>
    </w:p>
    <w:p w14:paraId="06708343" w14:textId="6F897AF3" w:rsidR="00865E2B" w:rsidRDefault="001759CD">
      <w:pPr>
        <w:spacing w:after="120" w:line="300" w:lineRule="auto"/>
      </w:pPr>
      <w:r>
        <w:t xml:space="preserve">Section 713A of the </w:t>
      </w:r>
      <w:r>
        <w:rPr>
          <w:i/>
          <w:iCs/>
        </w:rPr>
        <w:t>Legal Profession Act 2007</w:t>
      </w:r>
      <w:r>
        <w:t xml:space="preserve"> (Qld) permits a law practice, the Society or a community legal centre to destroy a client document relating to a matter where: (a) at least seven years have elapsed since the completion of the matter; (b) reasonable efforts to obtain client instructions to destroy have been unsuccessful; and (c) destruction is reasonable having regard to the nature and content of the document. The provision is permissive, not mandatory, and operates against a long-standing professional convention of a seven-year baseline, also articulated by other Australian law societies.</w:t>
      </w:r>
      <w:r>
        <w:rPr>
          <w:rStyle w:val="FootnoteReference"/>
        </w:rPr>
        <w:footnoteReference w:id="9"/>
      </w:r>
    </w:p>
    <w:p w14:paraId="24555E0F" w14:textId="77777777" w:rsidR="00B35FBA" w:rsidRDefault="00B35FBA">
      <w:pPr>
        <w:spacing w:after="120" w:line="300" w:lineRule="auto"/>
      </w:pPr>
      <w:r>
        <w:t xml:space="preserve">When does the time clock commence? </w:t>
      </w:r>
    </w:p>
    <w:p w14:paraId="57D743AE" w14:textId="57AE9E68" w:rsidR="00B35FBA" w:rsidRDefault="001759CD" w:rsidP="00B35FBA">
      <w:pPr>
        <w:pStyle w:val="ListParagraph"/>
        <w:numPr>
          <w:ilvl w:val="0"/>
          <w:numId w:val="3"/>
        </w:numPr>
        <w:spacing w:after="120" w:line="300" w:lineRule="auto"/>
      </w:pPr>
      <w:r>
        <w:t xml:space="preserve">First, the seven-year clock runs from </w:t>
      </w:r>
      <w:r w:rsidRPr="00B35FBA">
        <w:rPr>
          <w:i/>
          <w:iCs/>
        </w:rPr>
        <w:t>completion of the matter</w:t>
      </w:r>
      <w:r>
        <w:t xml:space="preserve">, not from creation of the document or closure of the file. </w:t>
      </w:r>
      <w:r w:rsidR="00B35FBA">
        <w:t xml:space="preserve">(Note the difference from the AML regime for which the retention period starts from cessation of the </w:t>
      </w:r>
      <w:r w:rsidR="00872280">
        <w:t>‘</w:t>
      </w:r>
      <w:r w:rsidR="00B35FBA">
        <w:t>customer</w:t>
      </w:r>
      <w:r w:rsidR="00872280">
        <w:t>’</w:t>
      </w:r>
      <w:r w:rsidR="00B35FBA">
        <w:t xml:space="preserve"> relationship</w:t>
      </w:r>
      <w:r w:rsidR="005D49B3">
        <w:t xml:space="preserve"> (See chapter 5)</w:t>
      </w:r>
      <w:r w:rsidR="00872280">
        <w:t>)</w:t>
      </w:r>
      <w:r w:rsidR="00B35FBA">
        <w:t>. Where the firm has more than one file open it would start from the closing of the last file.</w:t>
      </w:r>
    </w:p>
    <w:p w14:paraId="2968DA0C" w14:textId="77777777" w:rsidR="00B35FBA" w:rsidRDefault="001759CD" w:rsidP="00B35FBA">
      <w:pPr>
        <w:pStyle w:val="ListParagraph"/>
        <w:numPr>
          <w:ilvl w:val="0"/>
          <w:numId w:val="3"/>
        </w:numPr>
        <w:spacing w:after="120" w:line="300" w:lineRule="auto"/>
      </w:pPr>
      <w:r>
        <w:t xml:space="preserve">Second, ‘client instructions to the contrary’ </w:t>
      </w:r>
      <w:r w:rsidR="00B35FBA">
        <w:t>may require longer retention by special arrangement with the client</w:t>
      </w:r>
      <w:r>
        <w:t xml:space="preserve">. </w:t>
      </w:r>
    </w:p>
    <w:p w14:paraId="256848E7" w14:textId="60FFDD7C" w:rsidR="00865E2B" w:rsidRDefault="001759CD" w:rsidP="00B35FBA">
      <w:pPr>
        <w:pStyle w:val="ListParagraph"/>
        <w:numPr>
          <w:ilvl w:val="0"/>
          <w:numId w:val="3"/>
        </w:numPr>
        <w:spacing w:after="120" w:line="300" w:lineRule="auto"/>
      </w:pPr>
      <w:r>
        <w:t xml:space="preserve">Third, retention is a </w:t>
      </w:r>
      <w:r w:rsidRPr="00B35FBA">
        <w:rPr>
          <w:i/>
          <w:iCs/>
        </w:rPr>
        <w:t>minimum</w:t>
      </w:r>
      <w:r>
        <w:t xml:space="preserve"> obligation; specific categories of document (discussed below) require longer or indefinite retention</w:t>
      </w:r>
      <w:r w:rsidR="00B35FBA">
        <w:t xml:space="preserve"> consistent with the expectations </w:t>
      </w:r>
      <w:r w:rsidR="00872280">
        <w:t>c</w:t>
      </w:r>
      <w:r w:rsidR="00B35FBA">
        <w:t xml:space="preserve">ourts have of solicitors to provide relevant information in </w:t>
      </w:r>
      <w:r w:rsidR="005D49B3">
        <w:t>subsequent proceedings.</w:t>
      </w:r>
    </w:p>
    <w:p w14:paraId="290EAABA" w14:textId="61C92EEC" w:rsidR="00B35FBA" w:rsidRDefault="00B35FBA" w:rsidP="00B35FBA">
      <w:pPr>
        <w:pStyle w:val="ListParagraph"/>
        <w:numPr>
          <w:ilvl w:val="0"/>
          <w:numId w:val="3"/>
        </w:numPr>
        <w:spacing w:after="120" w:line="300" w:lineRule="auto"/>
      </w:pPr>
      <w:r>
        <w:t xml:space="preserve">Fourth: a litigation </w:t>
      </w:r>
      <w:proofErr w:type="gramStart"/>
      <w:r>
        <w:t>hold</w:t>
      </w:r>
      <w:proofErr w:type="gramEnd"/>
      <w:r>
        <w:t xml:space="preserve"> over-rides any other obligation.</w:t>
      </w:r>
    </w:p>
    <w:p w14:paraId="2CC19C29" w14:textId="77777777" w:rsidR="00865E2B" w:rsidRDefault="001759CD">
      <w:pPr>
        <w:pStyle w:val="Heading1"/>
        <w:spacing w:before="240" w:after="160"/>
      </w:pPr>
      <w:r>
        <w:rPr>
          <w:b/>
          <w:bCs/>
          <w:color w:val="1F2A44"/>
        </w:rPr>
        <w:t>4. Trust-account and controlled-money records</w:t>
      </w:r>
    </w:p>
    <w:p w14:paraId="1A90AD5C" w14:textId="0631861A" w:rsidR="00865E2B" w:rsidRDefault="001759CD">
      <w:pPr>
        <w:spacing w:after="120" w:line="300" w:lineRule="auto"/>
      </w:pPr>
      <w:r>
        <w:t xml:space="preserve">Queensland law practices must keep trust records in the form prescribed by the </w:t>
      </w:r>
      <w:r>
        <w:rPr>
          <w:i/>
          <w:iCs/>
        </w:rPr>
        <w:t>Legal Profession Regulation 2017</w:t>
      </w:r>
      <w:r>
        <w:t xml:space="preserve"> (Qld) (the </w:t>
      </w:r>
      <w:r>
        <w:rPr>
          <w:i/>
          <w:iCs/>
        </w:rPr>
        <w:t>Regulation</w:t>
      </w:r>
      <w:r>
        <w:t xml:space="preserve">), including paper copies of trust account receipts, payments cash books, reconciliation statements, and lists of trust-ledger and controlled-money account balances. Section </w:t>
      </w:r>
      <w:r>
        <w:lastRenderedPageBreak/>
        <w:t>49 of the Regulation prescribes that a written direction for the deposit of controlled money must be kept for seven years after finalisation of the matter to which the direction relates</w:t>
      </w:r>
      <w:r w:rsidR="005D49B3">
        <w:t>.</w:t>
      </w:r>
    </w:p>
    <w:p w14:paraId="3B575B71" w14:textId="05F1DA9E" w:rsidR="00865E2B" w:rsidRDefault="001759CD">
      <w:pPr>
        <w:spacing w:after="120" w:line="300" w:lineRule="auto"/>
      </w:pPr>
      <w:r>
        <w:t>Practical points: trust records are not ‘client documents’ for s 713A purposes</w:t>
      </w:r>
      <w:r w:rsidR="005D49B3">
        <w:t>.</w:t>
      </w:r>
      <w:r>
        <w:t xml:space="preserve"> </w:t>
      </w:r>
      <w:r w:rsidR="005D49B3">
        <w:t>T</w:t>
      </w:r>
      <w:r>
        <w:t>he firm should retain printed (or print-ready</w:t>
      </w:r>
      <w:r w:rsidR="005D49B3">
        <w:t>, i</w:t>
      </w:r>
      <w:r w:rsidR="00872280">
        <w:t>.</w:t>
      </w:r>
      <w:r w:rsidR="005D49B3">
        <w:t>e</w:t>
      </w:r>
      <w:r w:rsidR="00872280">
        <w:t>.,</w:t>
      </w:r>
      <w:r w:rsidR="005D49B3">
        <w:t xml:space="preserve"> .pdf, docx or .xlsx</w:t>
      </w:r>
      <w:r>
        <w:t>) copies even where its accounting system is electronic, as required by the Regulation.</w:t>
      </w:r>
    </w:p>
    <w:p w14:paraId="215BE0A9" w14:textId="77777777" w:rsidR="00865E2B" w:rsidRDefault="001759CD">
      <w:pPr>
        <w:pStyle w:val="Heading1"/>
        <w:spacing w:before="240" w:after="160"/>
      </w:pPr>
      <w:r>
        <w:rPr>
          <w:b/>
          <w:bCs/>
          <w:color w:val="1F2A44"/>
        </w:rPr>
        <w:t>5. AML/CTF records</w:t>
      </w:r>
    </w:p>
    <w:p w14:paraId="5CC6685E" w14:textId="228BEF89" w:rsidR="00865E2B" w:rsidRDefault="001759CD">
      <w:pPr>
        <w:spacing w:after="120" w:line="300" w:lineRule="auto"/>
      </w:pPr>
      <w:r>
        <w:t xml:space="preserve">From 1 July 2026, legal practices that provide ‘designated services’ become reporting entities under the </w:t>
      </w:r>
      <w:r>
        <w:rPr>
          <w:i/>
          <w:iCs/>
        </w:rPr>
        <w:t>Anti-Money Laundering and Counter-Terrorism Financing Act 2006</w:t>
      </w:r>
      <w:r>
        <w:t xml:space="preserve"> (</w:t>
      </w:r>
      <w:proofErr w:type="spellStart"/>
      <w:r>
        <w:t>Cth</w:t>
      </w:r>
      <w:proofErr w:type="spellEnd"/>
      <w:r>
        <w:t>).</w:t>
      </w:r>
      <w:r w:rsidR="00201EEE">
        <w:rPr>
          <w:rStyle w:val="FootnoteReference"/>
        </w:rPr>
        <w:footnoteReference w:id="10"/>
      </w:r>
      <w:r>
        <w:t xml:space="preserve"> Record-keeping obligations under ss 107 (transaction records), 111 (customer due diligence), 114 (records provided by another reporting entity under reliance arrangements) and 114A (reliance assessments) require retention for seven years</w:t>
      </w:r>
      <w:r w:rsidR="00201EEE">
        <w:t>.</w:t>
      </w:r>
      <w:r w:rsidR="00201EEE">
        <w:rPr>
          <w:rStyle w:val="FootnoteReference"/>
        </w:rPr>
        <w:footnoteReference w:id="11"/>
      </w:r>
      <w:r>
        <w:t xml:space="preserve"> AUSTRAC has consistently described the standard period as seven years for all AML/CTF records.</w:t>
      </w:r>
      <w:r>
        <w:rPr>
          <w:rStyle w:val="FootnoteReference"/>
        </w:rPr>
        <w:footnoteReference w:id="12"/>
      </w:r>
    </w:p>
    <w:p w14:paraId="5043BEA0" w14:textId="52E0D8DA" w:rsidR="005D49B3" w:rsidRDefault="005D49B3">
      <w:pPr>
        <w:spacing w:after="120" w:line="300" w:lineRule="auto"/>
      </w:pPr>
      <w:r>
        <w:t>For the most part, our firm will not be collecting information solely for AML purposes. There will often be a dual purpose for collection. (Client ID for example)</w:t>
      </w:r>
      <w:r w:rsidR="008553E8">
        <w:t>.</w:t>
      </w:r>
      <w:r>
        <w:t xml:space="preserve"> Some information is solely AML related. (PEP and beneficial owner investigations, SMR reports for example)</w:t>
      </w:r>
      <w:r w:rsidR="008553E8">
        <w:t>.</w:t>
      </w:r>
    </w:p>
    <w:p w14:paraId="429EC819" w14:textId="77777777" w:rsidR="00865E2B" w:rsidRDefault="001759CD">
      <w:pPr>
        <w:spacing w:after="120" w:line="300" w:lineRule="auto"/>
      </w:pPr>
      <w:r>
        <w:t>The retention clock differs by record type:</w:t>
      </w:r>
    </w:p>
    <w:p w14:paraId="606F3AC6" w14:textId="77777777" w:rsidR="00865E2B" w:rsidRDefault="001759CD">
      <w:pPr>
        <w:pStyle w:val="ListParagraph"/>
        <w:numPr>
          <w:ilvl w:val="0"/>
          <w:numId w:val="1"/>
        </w:numPr>
        <w:spacing w:after="80" w:line="280" w:lineRule="auto"/>
      </w:pPr>
      <w:r>
        <w:t>CDD records: seven years from the end of the business relationship or completion of the occasional transaction (s 111).</w:t>
      </w:r>
    </w:p>
    <w:p w14:paraId="262EBA03" w14:textId="77777777" w:rsidR="00865E2B" w:rsidRDefault="001759CD">
      <w:pPr>
        <w:pStyle w:val="ListParagraph"/>
        <w:numPr>
          <w:ilvl w:val="0"/>
          <w:numId w:val="1"/>
        </w:numPr>
        <w:spacing w:after="80" w:line="280" w:lineRule="auto"/>
      </w:pPr>
      <w:r>
        <w:t>Reliance records under s 114: seven years after the last designated service provided to the customer.</w:t>
      </w:r>
    </w:p>
    <w:p w14:paraId="69A2D722" w14:textId="77777777" w:rsidR="00865E2B" w:rsidRDefault="001759CD">
      <w:pPr>
        <w:pStyle w:val="ListParagraph"/>
        <w:numPr>
          <w:ilvl w:val="0"/>
          <w:numId w:val="1"/>
        </w:numPr>
        <w:spacing w:after="80" w:line="280" w:lineRule="auto"/>
      </w:pPr>
      <w:r>
        <w:t>Reliance assessments under s 114A: seven years from the date the record was made.</w:t>
      </w:r>
    </w:p>
    <w:p w14:paraId="27242F96" w14:textId="77777777" w:rsidR="00865E2B" w:rsidRDefault="001759CD">
      <w:pPr>
        <w:pStyle w:val="ListParagraph"/>
        <w:numPr>
          <w:ilvl w:val="0"/>
          <w:numId w:val="1"/>
        </w:numPr>
        <w:spacing w:after="80" w:line="280" w:lineRule="auto"/>
      </w:pPr>
      <w:r>
        <w:t>AML/CTF programs, risk assessments, training records and the AML/CTF Rules ‘activities of the entity’ records: seven years from creation.</w:t>
      </w:r>
      <w:r>
        <w:rPr>
          <w:rStyle w:val="FootnoteReference"/>
        </w:rPr>
        <w:footnoteReference w:id="13"/>
      </w:r>
    </w:p>
    <w:p w14:paraId="3242471D" w14:textId="77777777" w:rsidR="00865E2B" w:rsidRDefault="001759CD">
      <w:pPr>
        <w:pStyle w:val="Heading1"/>
        <w:spacing w:before="240" w:after="160"/>
      </w:pPr>
      <w:r>
        <w:rPr>
          <w:b/>
          <w:bCs/>
          <w:color w:val="1F2A44"/>
        </w:rPr>
        <w:t>6. Privacy Act interaction — collection minimisation and destruction</w:t>
      </w:r>
    </w:p>
    <w:p w14:paraId="33AEF129" w14:textId="77777777" w:rsidR="00865E2B" w:rsidRDefault="001759CD">
      <w:pPr>
        <w:spacing w:after="120" w:line="300" w:lineRule="auto"/>
      </w:pPr>
      <w:r>
        <w:t xml:space="preserve">Personal information collected for AML/CTF purposes is regulated by the </w:t>
      </w:r>
      <w:r>
        <w:rPr>
          <w:i/>
          <w:iCs/>
        </w:rPr>
        <w:t>Privacy Act 1988</w:t>
      </w:r>
      <w:r>
        <w:t xml:space="preserve"> (</w:t>
      </w:r>
      <w:proofErr w:type="spellStart"/>
      <w:r>
        <w:t>Cth</w:t>
      </w:r>
      <w:proofErr w:type="spellEnd"/>
      <w:r>
        <w:t>). Two propositions are central.</w:t>
      </w:r>
    </w:p>
    <w:p w14:paraId="7180CC2F" w14:textId="77777777" w:rsidR="005D49B3" w:rsidRDefault="001759CD">
      <w:pPr>
        <w:spacing w:after="120" w:line="300" w:lineRule="auto"/>
      </w:pPr>
      <w:r>
        <w:t xml:space="preserve">First, APP 11.2 requires an APP entity to take reasonable steps to destroy or de-identify personal information when it is no longer needed for </w:t>
      </w:r>
      <w:r w:rsidRPr="005D49B3">
        <w:rPr>
          <w:b/>
          <w:bCs/>
          <w:i/>
          <w:iCs/>
        </w:rPr>
        <w:t>any</w:t>
      </w:r>
      <w:r>
        <w:t xml:space="preserve"> purpose for which it may be used or disclosed under the APPs, unless retention is required by Australian law or a court or tribunal order. </w:t>
      </w:r>
    </w:p>
    <w:p w14:paraId="596692A0" w14:textId="22A4C01E" w:rsidR="00865E2B" w:rsidRDefault="001759CD">
      <w:pPr>
        <w:spacing w:after="120" w:line="300" w:lineRule="auto"/>
      </w:pPr>
      <w:r>
        <w:lastRenderedPageBreak/>
        <w:t>The OAIC’s updated Chapter 11 guidance confirms that ‘reasonable steps’ require both technical and organisational measures and, where electronic information cannot be irretrievably destroyed, the information must be ‘put beyond use’ and a commitment made to destroy it once that becomes possible</w:t>
      </w:r>
      <w:r w:rsidR="008553E8">
        <w:t>.</w:t>
      </w:r>
      <w:r>
        <w:rPr>
          <w:rStyle w:val="FootnoteReference"/>
        </w:rPr>
        <w:footnoteReference w:id="14"/>
      </w:r>
    </w:p>
    <w:p w14:paraId="6845C6AB" w14:textId="40B6C36C" w:rsidR="005D49B3" w:rsidRDefault="001759CD">
      <w:pPr>
        <w:spacing w:after="120" w:line="300" w:lineRule="auto"/>
      </w:pPr>
      <w:r>
        <w:t xml:space="preserve">Second, the OAIC and AUSTRAC have made clear that, from 31 March 2026 (and from 1 July 2026 for tranche 2 entities), </w:t>
      </w:r>
      <w:r w:rsidR="00217E85" w:rsidRPr="00217E85">
        <w:rPr>
          <w:b/>
          <w:bCs/>
          <w:i/>
          <w:iCs/>
        </w:rPr>
        <w:t>from their perspective</w:t>
      </w:r>
      <w:r w:rsidR="00217E85">
        <w:t xml:space="preserve"> </w:t>
      </w:r>
      <w:r>
        <w:t xml:space="preserve">reporting entities should </w:t>
      </w:r>
      <w:r w:rsidR="005D49B3">
        <w:t xml:space="preserve">endeavour </w:t>
      </w:r>
      <w:r>
        <w:t>not</w:t>
      </w:r>
      <w:r w:rsidR="005D49B3">
        <w:t xml:space="preserve"> to</w:t>
      </w:r>
      <w:r>
        <w:t xml:space="preserve"> retain copies of full identification documents (for example, passports or drivers’ licences) for AML/CTF record-keeping purposes. </w:t>
      </w:r>
    </w:p>
    <w:p w14:paraId="4F13F112" w14:textId="5D142113" w:rsidR="00865E2B" w:rsidRDefault="001759CD">
      <w:pPr>
        <w:spacing w:after="120" w:line="300" w:lineRule="auto"/>
      </w:pPr>
      <w:r>
        <w:t>Entities should instead record only the specific verification information required — for example, full name, date of birth, address, document type and number, and the outcome of the verification and risk assessment. Existing copies of full ID documents collected before that date may continue to be held under previous allowances, but new collections should not occur.</w:t>
      </w:r>
    </w:p>
    <w:p w14:paraId="14232627" w14:textId="637D0440" w:rsidR="00217E85" w:rsidRDefault="005D49B3">
      <w:pPr>
        <w:spacing w:after="120" w:line="300" w:lineRule="auto"/>
      </w:pPr>
      <w:r>
        <w:t xml:space="preserve">Unfortunately, for most purposes </w:t>
      </w:r>
      <w:r w:rsidR="008553E8">
        <w:t>i</w:t>
      </w:r>
      <w:r>
        <w:t>dentification documents must be retained for seven years, albeit not necessarily in full image format in the practice management system (although such a copy must be retained in the firm’s systems somewhere)</w:t>
      </w:r>
      <w:r w:rsidR="008553E8">
        <w:t>.</w:t>
      </w:r>
    </w:p>
    <w:p w14:paraId="5DB9A8ED" w14:textId="064EFF59" w:rsidR="00865E2B" w:rsidRDefault="001759CD">
      <w:pPr>
        <w:pStyle w:val="Heading1"/>
        <w:spacing w:before="240" w:after="160"/>
      </w:pPr>
      <w:r>
        <w:rPr>
          <w:b/>
          <w:bCs/>
          <w:color w:val="1F2A44"/>
        </w:rPr>
        <w:t xml:space="preserve">7. Other </w:t>
      </w:r>
      <w:r w:rsidR="005D49B3">
        <w:rPr>
          <w:b/>
          <w:bCs/>
          <w:color w:val="1F2A44"/>
        </w:rPr>
        <w:t>statutory</w:t>
      </w:r>
      <w:r>
        <w:rPr>
          <w:b/>
          <w:bCs/>
          <w:color w:val="1F2A44"/>
        </w:rPr>
        <w:t xml:space="preserve"> retention obligations</w:t>
      </w:r>
    </w:p>
    <w:p w14:paraId="36926D21" w14:textId="77777777" w:rsidR="00865E2B" w:rsidRDefault="001759CD">
      <w:pPr>
        <w:pStyle w:val="Heading2"/>
        <w:spacing w:before="220" w:after="120"/>
      </w:pPr>
      <w:r>
        <w:rPr>
          <w:b/>
          <w:bCs/>
          <w:color w:val="1F2A44"/>
        </w:rPr>
        <w:t>7.1 Employment records</w:t>
      </w:r>
    </w:p>
    <w:p w14:paraId="2A716D72" w14:textId="42DF906E" w:rsidR="00865E2B" w:rsidRDefault="001759CD">
      <w:pPr>
        <w:spacing w:after="120" w:line="300" w:lineRule="auto"/>
      </w:pPr>
      <w:r>
        <w:t xml:space="preserve">Employee records must be made and kept for seven years under s 535 of the </w:t>
      </w:r>
      <w:r>
        <w:rPr>
          <w:i/>
          <w:iCs/>
        </w:rPr>
        <w:t>Fair Work Act 2009</w:t>
      </w:r>
      <w:r>
        <w:t xml:space="preserve"> (</w:t>
      </w:r>
      <w:proofErr w:type="spellStart"/>
      <w:r>
        <w:t>Cth</w:t>
      </w:r>
      <w:proofErr w:type="spellEnd"/>
      <w:r>
        <w:t xml:space="preserve">), with prescribed content in the </w:t>
      </w:r>
      <w:r>
        <w:rPr>
          <w:i/>
          <w:iCs/>
        </w:rPr>
        <w:t>Fair Work Regulations 2009</w:t>
      </w:r>
      <w:r>
        <w:t xml:space="preserve"> (</w:t>
      </w:r>
      <w:proofErr w:type="spellStart"/>
      <w:r>
        <w:t>Cth</w:t>
      </w:r>
      <w:proofErr w:type="spellEnd"/>
      <w:r>
        <w:t xml:space="preserve">). Long-service-leave records may need to be retained longer to evidence accrual; for Queensland-based employees not in the national system, see the </w:t>
      </w:r>
      <w:r>
        <w:rPr>
          <w:i/>
          <w:iCs/>
        </w:rPr>
        <w:t>Industrial Relations Act 2016</w:t>
      </w:r>
      <w:r>
        <w:t xml:space="preserve"> (Qld).</w:t>
      </w:r>
      <w:r>
        <w:rPr>
          <w:rStyle w:val="FootnoteReference"/>
        </w:rPr>
        <w:footnoteReference w:id="15"/>
      </w:r>
    </w:p>
    <w:p w14:paraId="5C807BD0" w14:textId="77777777" w:rsidR="00865E2B" w:rsidRDefault="001759CD">
      <w:pPr>
        <w:pStyle w:val="Heading2"/>
        <w:spacing w:before="220" w:after="120"/>
      </w:pPr>
      <w:r>
        <w:rPr>
          <w:b/>
          <w:bCs/>
          <w:color w:val="1F2A44"/>
        </w:rPr>
        <w:t>7.2 Corporate and tax records</w:t>
      </w:r>
    </w:p>
    <w:p w14:paraId="481ACCC1" w14:textId="212600F5" w:rsidR="00865E2B" w:rsidRDefault="001759CD">
      <w:pPr>
        <w:spacing w:after="120" w:line="300" w:lineRule="auto"/>
      </w:pPr>
      <w:r>
        <w:t xml:space="preserve">If the practice operates as an incorporated legal practice or other company, the </w:t>
      </w:r>
      <w:r>
        <w:rPr>
          <w:i/>
          <w:iCs/>
        </w:rPr>
        <w:t>Corporations Act 2001</w:t>
      </w:r>
      <w:r>
        <w:t xml:space="preserve"> (</w:t>
      </w:r>
      <w:proofErr w:type="spellStart"/>
      <w:r>
        <w:t>Cth</w:t>
      </w:r>
      <w:proofErr w:type="spellEnd"/>
      <w:r>
        <w:t>) s 286 requires financial records to be retained for at least seven years.</w:t>
      </w:r>
      <w:r w:rsidR="00CA255B">
        <w:rPr>
          <w:rStyle w:val="FootnoteReference"/>
        </w:rPr>
        <w:footnoteReference w:id="16"/>
      </w:r>
      <w:r w:rsidR="00CA255B">
        <w:t xml:space="preserve"> </w:t>
      </w:r>
      <w:r>
        <w:t xml:space="preserve">Tax records must generally be retained for five years from the later of preparation and completion of the relevant transaction under s 262A of the </w:t>
      </w:r>
      <w:r>
        <w:rPr>
          <w:i/>
          <w:iCs/>
        </w:rPr>
        <w:t>Income Tax Assessment Act 1936</w:t>
      </w:r>
      <w:r>
        <w:t xml:space="preserve"> (</w:t>
      </w:r>
      <w:proofErr w:type="spellStart"/>
      <w:r>
        <w:t>Cth</w:t>
      </w:r>
      <w:proofErr w:type="spellEnd"/>
      <w:r>
        <w:t xml:space="preserve">) and s 70-5 of the </w:t>
      </w:r>
      <w:r>
        <w:rPr>
          <w:i/>
          <w:iCs/>
        </w:rPr>
        <w:t>A New Tax System (Goods and Services Tax) Act 1999</w:t>
      </w:r>
      <w:r>
        <w:t xml:space="preserve"> (</w:t>
      </w:r>
      <w:proofErr w:type="spellStart"/>
      <w:r>
        <w:t>Cth</w:t>
      </w:r>
      <w:proofErr w:type="spellEnd"/>
      <w:r>
        <w:t>).</w:t>
      </w:r>
      <w:r>
        <w:rPr>
          <w:rStyle w:val="FootnoteReference"/>
        </w:rPr>
        <w:footnoteReference w:id="17"/>
      </w:r>
      <w:r>
        <w:t xml:space="preserve"> Where these regimes diverge from each other, the longest applicable period should be observed.</w:t>
      </w:r>
    </w:p>
    <w:p w14:paraId="472DDB0F" w14:textId="77777777" w:rsidR="00865E2B" w:rsidRDefault="001759CD">
      <w:pPr>
        <w:pStyle w:val="Heading2"/>
        <w:spacing w:before="220" w:after="120"/>
      </w:pPr>
      <w:r>
        <w:rPr>
          <w:b/>
          <w:bCs/>
          <w:color w:val="1F2A44"/>
        </w:rPr>
        <w:t>7.3 Limitation periods and originals</w:t>
      </w:r>
    </w:p>
    <w:p w14:paraId="4539AB36" w14:textId="77777777" w:rsidR="00865E2B" w:rsidRDefault="001759CD">
      <w:pPr>
        <w:spacing w:after="120" w:line="300" w:lineRule="auto"/>
      </w:pPr>
      <w:r>
        <w:t xml:space="preserve">Retention should not be set without regard to the firm’s exposure to negligence and statutory limitation periods. Under the </w:t>
      </w:r>
      <w:r>
        <w:rPr>
          <w:i/>
          <w:iCs/>
        </w:rPr>
        <w:t>Limitation of Actions Act 1974</w:t>
      </w:r>
      <w:r>
        <w:t xml:space="preserve"> (Qld), simple contract and tort actions are subject to a </w:t>
      </w:r>
      <w:r>
        <w:lastRenderedPageBreak/>
        <w:t>six-year limitation period from accrual of the cause of action.</w:t>
      </w:r>
      <w:r>
        <w:rPr>
          <w:rStyle w:val="FootnoteReference"/>
        </w:rPr>
        <w:footnoteReference w:id="18"/>
      </w:r>
      <w:r>
        <w:t xml:space="preserve"> From 1 August 2025, the limitation period for actions on deeds executed in Queensland on or after that date is reduced from twelve years to six years, narrowing the practical exposure window but not removing the case-by-case need to consider when the cause of action accrued.</w:t>
      </w:r>
    </w:p>
    <w:p w14:paraId="506A0B83" w14:textId="77777777" w:rsidR="00865E2B" w:rsidRDefault="001759CD">
      <w:pPr>
        <w:spacing w:after="120" w:line="300" w:lineRule="auto"/>
      </w:pPr>
      <w:r>
        <w:t>Original instruments — wills, deeds, leases, binding financial agreements and powers of attorney — should be retained longer or indefinitely, having regard both to the relevant limitation period and to the firm’s bailee obligations to the client.</w:t>
      </w:r>
      <w:r>
        <w:rPr>
          <w:rStyle w:val="FootnoteReference"/>
        </w:rPr>
        <w:footnoteReference w:id="19"/>
      </w:r>
      <w:r>
        <w:t xml:space="preserve"> Verification-of-identity records associated with conveyancing transactions should be retained for at least seven years from the date of the transaction under the Titles Queensland VOI standard.</w:t>
      </w:r>
      <w:r>
        <w:rPr>
          <w:rStyle w:val="FootnoteReference"/>
        </w:rPr>
        <w:footnoteReference w:id="20"/>
      </w:r>
    </w:p>
    <w:p w14:paraId="00272E0E" w14:textId="4E18EE61" w:rsidR="00DB54EE" w:rsidRDefault="00DB54EE" w:rsidP="00201EEE">
      <w:pPr>
        <w:pStyle w:val="Heading2"/>
        <w:spacing w:before="220" w:after="120"/>
      </w:pPr>
      <w:r w:rsidRPr="009B32F5">
        <w:rPr>
          <w:b/>
          <w:bCs/>
          <w:color w:val="1F2A44"/>
          <w:sz w:val="44"/>
          <w:szCs w:val="44"/>
        </w:rPr>
        <w:t>Policy operating principles</w:t>
      </w:r>
    </w:p>
    <w:p w14:paraId="7A1E7FB6" w14:textId="77777777" w:rsidR="00DB54EE" w:rsidRDefault="00DB54EE" w:rsidP="00DB54EE">
      <w:pPr>
        <w:pStyle w:val="ListParagraph"/>
        <w:numPr>
          <w:ilvl w:val="0"/>
          <w:numId w:val="1"/>
        </w:numPr>
        <w:spacing w:after="80" w:line="280" w:lineRule="auto"/>
      </w:pPr>
      <w:r>
        <w:t>Default minimum: all file material to be retained for at least seven years from completion of the matter.</w:t>
      </w:r>
    </w:p>
    <w:p w14:paraId="7F1664E6" w14:textId="77777777" w:rsidR="00DB54EE" w:rsidRDefault="00DB54EE" w:rsidP="00DB54EE">
      <w:pPr>
        <w:pStyle w:val="ListParagraph"/>
        <w:numPr>
          <w:ilvl w:val="0"/>
          <w:numId w:val="1"/>
        </w:numPr>
        <w:spacing w:after="80" w:line="280" w:lineRule="auto"/>
      </w:pPr>
      <w:r>
        <w:t xml:space="preserve">Longest period </w:t>
      </w:r>
      <w:proofErr w:type="gramStart"/>
      <w:r>
        <w:t>applies:</w:t>
      </w:r>
      <w:proofErr w:type="gramEnd"/>
      <w:r>
        <w:t xml:space="preserve"> where a record falls within more than one category, the longest applicable retention period governs.</w:t>
      </w:r>
    </w:p>
    <w:p w14:paraId="1929B67B" w14:textId="77777777" w:rsidR="00DB54EE" w:rsidRDefault="00DB54EE" w:rsidP="00DB54EE">
      <w:pPr>
        <w:pStyle w:val="ListParagraph"/>
        <w:numPr>
          <w:ilvl w:val="0"/>
          <w:numId w:val="1"/>
        </w:numPr>
        <w:spacing w:after="80" w:line="280" w:lineRule="auto"/>
      </w:pPr>
      <w:r>
        <w:t>Legal hold overrides destruction: scheduled destruction is suspended for records relevant to actual or reasonably anticipated litigation, regulatory investigation, complaint, audit, or notifiable data breach.</w:t>
      </w:r>
    </w:p>
    <w:p w14:paraId="704A47F3" w14:textId="77777777" w:rsidR="00DB54EE" w:rsidRDefault="00DB54EE" w:rsidP="00DB54EE">
      <w:pPr>
        <w:pStyle w:val="ListParagraph"/>
        <w:numPr>
          <w:ilvl w:val="0"/>
          <w:numId w:val="1"/>
        </w:numPr>
        <w:spacing w:after="80" w:line="280" w:lineRule="auto"/>
      </w:pPr>
      <w:r>
        <w:t>Destruction must be secure: hard copy by cross-cut shredding or certified destruction; electronic by sanitisation or, where not possible, by being ‘put beyond use’ with a commitment to destroy when possible, including in back-ups.</w:t>
      </w:r>
    </w:p>
    <w:p w14:paraId="6CB7291D" w14:textId="77777777" w:rsidR="00DB54EE" w:rsidRDefault="00DB54EE" w:rsidP="00DB54EE">
      <w:pPr>
        <w:pStyle w:val="ListParagraph"/>
        <w:numPr>
          <w:ilvl w:val="0"/>
          <w:numId w:val="1"/>
        </w:numPr>
        <w:spacing w:after="80" w:line="280" w:lineRule="auto"/>
      </w:pPr>
      <w:r>
        <w:t>Destruction must be documented.</w:t>
      </w:r>
    </w:p>
    <w:p w14:paraId="49B136D8" w14:textId="51C6B160" w:rsidR="00DB54EE" w:rsidRDefault="00DB54EE" w:rsidP="00DB54EE">
      <w:pPr>
        <w:pStyle w:val="ListParagraph"/>
        <w:numPr>
          <w:ilvl w:val="0"/>
          <w:numId w:val="1"/>
        </w:numPr>
        <w:spacing w:after="80" w:line="280" w:lineRule="auto"/>
      </w:pPr>
      <w:r>
        <w:t xml:space="preserve">Conversion from </w:t>
      </w:r>
      <w:r w:rsidR="004665F1">
        <w:t>‘</w:t>
      </w:r>
      <w:r>
        <w:t>original</w:t>
      </w:r>
      <w:r w:rsidR="004665F1">
        <w:t>’</w:t>
      </w:r>
      <w:r>
        <w:t xml:space="preserve"> to electronic format should be recorded.</w:t>
      </w:r>
    </w:p>
    <w:p w14:paraId="2E91D94E" w14:textId="4E8F8631" w:rsidR="00DB54EE" w:rsidRDefault="00DB54EE" w:rsidP="00DB54EE">
      <w:pPr>
        <w:pStyle w:val="ListParagraph"/>
        <w:numPr>
          <w:ilvl w:val="0"/>
          <w:numId w:val="1"/>
        </w:numPr>
        <w:spacing w:after="80" w:line="280" w:lineRule="auto"/>
      </w:pPr>
      <w:r>
        <w:t xml:space="preserve">Originals are not destroyed without instructions: original wills, deeds and similar instruments are returned to the </w:t>
      </w:r>
      <w:proofErr w:type="gramStart"/>
      <w:r>
        <w:t>client</w:t>
      </w:r>
      <w:proofErr w:type="gramEnd"/>
      <w:r>
        <w:t xml:space="preserve"> if possible, retained indefinitely in safe custody or s</w:t>
      </w:r>
      <w:r w:rsidR="004665F1">
        <w:t xml:space="preserve"> </w:t>
      </w:r>
      <w:r>
        <w:t>713A process followed.</w:t>
      </w:r>
    </w:p>
    <w:p w14:paraId="2C4A6133" w14:textId="77777777" w:rsidR="00DB54EE" w:rsidRDefault="00DB54EE" w:rsidP="00DB54EE">
      <w:pPr>
        <w:pStyle w:val="ListParagraph"/>
        <w:numPr>
          <w:ilvl w:val="0"/>
          <w:numId w:val="1"/>
        </w:numPr>
        <w:spacing w:after="80" w:line="280" w:lineRule="auto"/>
      </w:pPr>
      <w:r>
        <w:t>Collection minimisation: personal information is collected only where reasonably necessary; full identification documents are not retained for AML/CTF purposes from the applicable commencement date but may need to be kept for other purposes.</w:t>
      </w:r>
    </w:p>
    <w:p w14:paraId="465BB8B9" w14:textId="77777777" w:rsidR="005333C9" w:rsidRDefault="005333C9" w:rsidP="004D3AD5">
      <w:pPr>
        <w:spacing w:after="80" w:line="280" w:lineRule="auto"/>
        <w:ind w:left="360"/>
      </w:pPr>
    </w:p>
    <w:p w14:paraId="3C7FAF87" w14:textId="11E62D12" w:rsidR="00DB54EE" w:rsidRDefault="00DB54EE" w:rsidP="004D3AD5">
      <w:pPr>
        <w:spacing w:after="80" w:line="280" w:lineRule="auto"/>
        <w:ind w:left="360"/>
      </w:pPr>
      <w:r>
        <w:t>Review: this policy is reviewed at least annually, and immediately after any material change in legislation, regulator guidance, or the firm’s scope of designated services.</w:t>
      </w:r>
    </w:p>
    <w:p w14:paraId="77B61EDA" w14:textId="77777777" w:rsidR="00DB54EE" w:rsidRDefault="00DB54EE">
      <w:pPr>
        <w:spacing w:after="120" w:line="300" w:lineRule="auto"/>
      </w:pPr>
    </w:p>
    <w:p w14:paraId="30C67990" w14:textId="77777777" w:rsidR="004D3AD5" w:rsidRDefault="004D3AD5">
      <w:pPr>
        <w:spacing w:after="120" w:line="300" w:lineRule="auto"/>
        <w:sectPr w:rsidR="004D3AD5">
          <w:headerReference w:type="default" r:id="rId9"/>
          <w:footerReference w:type="default" r:id="rId10"/>
          <w:pgSz w:w="11906" w:h="16838"/>
          <w:pgMar w:top="1134" w:right="1134" w:bottom="1134" w:left="1134" w:header="708" w:footer="708" w:gutter="0"/>
          <w:cols w:space="720"/>
          <w:docGrid w:linePitch="360"/>
        </w:sectPr>
      </w:pPr>
    </w:p>
    <w:p w14:paraId="063CF548" w14:textId="77777777" w:rsidR="004D3AD5" w:rsidRPr="00217E85" w:rsidRDefault="004D3AD5" w:rsidP="004D3AD5">
      <w:pPr>
        <w:spacing w:before="320" w:after="120"/>
        <w:rPr>
          <w:sz w:val="28"/>
          <w:szCs w:val="28"/>
        </w:rPr>
      </w:pPr>
      <w:r w:rsidRPr="00217E85">
        <w:rPr>
          <w:b/>
          <w:bCs/>
          <w:color w:val="1F2A44"/>
          <w:sz w:val="28"/>
          <w:szCs w:val="28"/>
        </w:rPr>
        <w:lastRenderedPageBreak/>
        <w:t>Re</w:t>
      </w:r>
      <w:r>
        <w:rPr>
          <w:b/>
          <w:bCs/>
          <w:color w:val="1F2A44"/>
          <w:sz w:val="28"/>
          <w:szCs w:val="28"/>
        </w:rPr>
        <w:t>sources:</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0" w:type="dxa"/>
          <w:right w:w="10" w:type="dxa"/>
        </w:tblCellMar>
        <w:tblLook w:val="0000" w:firstRow="0" w:lastRow="0" w:firstColumn="0" w:lastColumn="0" w:noHBand="0" w:noVBand="0"/>
      </w:tblPr>
      <w:tblGrid>
        <w:gridCol w:w="6642"/>
        <w:gridCol w:w="7918"/>
      </w:tblGrid>
      <w:tr w:rsidR="004D3AD5" w14:paraId="48FA92EB" w14:textId="77777777" w:rsidTr="004D3AD5">
        <w:trPr>
          <w:tblHeader/>
        </w:trPr>
        <w:tc>
          <w:tcPr>
            <w:tcW w:w="2281" w:type="pct"/>
            <w:shd w:val="solid" w:color="1F2A44" w:fill="1F2A44"/>
            <w:tcMar>
              <w:top w:w="100" w:type="dxa"/>
              <w:left w:w="120" w:type="dxa"/>
              <w:bottom w:w="100" w:type="dxa"/>
              <w:right w:w="120" w:type="dxa"/>
            </w:tcMar>
          </w:tcPr>
          <w:p w14:paraId="6B9A9149" w14:textId="77777777" w:rsidR="004D3AD5" w:rsidRPr="00217E85" w:rsidRDefault="004D3AD5" w:rsidP="00741D20">
            <w:pPr>
              <w:rPr>
                <w:b/>
                <w:bCs/>
              </w:rPr>
            </w:pPr>
            <w:r w:rsidRPr="00217E85">
              <w:rPr>
                <w:b/>
                <w:bCs/>
                <w:color w:val="FFFFFF"/>
                <w:sz w:val="20"/>
                <w:szCs w:val="20"/>
              </w:rPr>
              <w:t>Hyperlink (source)</w:t>
            </w:r>
          </w:p>
        </w:tc>
        <w:tc>
          <w:tcPr>
            <w:tcW w:w="2719" w:type="pct"/>
            <w:shd w:val="solid" w:color="1F2A44" w:fill="1F2A44"/>
            <w:tcMar>
              <w:top w:w="100" w:type="dxa"/>
              <w:left w:w="120" w:type="dxa"/>
              <w:bottom w:w="100" w:type="dxa"/>
              <w:right w:w="120" w:type="dxa"/>
            </w:tcMar>
          </w:tcPr>
          <w:p w14:paraId="23C49E53" w14:textId="77777777" w:rsidR="004D3AD5" w:rsidRDefault="004D3AD5" w:rsidP="00741D20">
            <w:r>
              <w:rPr>
                <w:b/>
                <w:bCs/>
                <w:color w:val="FFFFFF"/>
                <w:sz w:val="20"/>
                <w:szCs w:val="20"/>
              </w:rPr>
              <w:t>Cross link (URL)</w:t>
            </w:r>
          </w:p>
        </w:tc>
      </w:tr>
      <w:tr w:rsidR="004D3AD5" w14:paraId="13418CE4" w14:textId="77777777" w:rsidTr="004D3AD5">
        <w:tc>
          <w:tcPr>
            <w:tcW w:w="2281" w:type="pct"/>
            <w:tcMar>
              <w:top w:w="80" w:type="dxa"/>
              <w:left w:w="120" w:type="dxa"/>
              <w:bottom w:w="80" w:type="dxa"/>
              <w:right w:w="120" w:type="dxa"/>
            </w:tcMar>
          </w:tcPr>
          <w:p w14:paraId="4FE32720" w14:textId="653C9809" w:rsidR="004D3AD5" w:rsidRDefault="004D3AD5" w:rsidP="00741D20">
            <w:r w:rsidRPr="00201EEE">
              <w:rPr>
                <w:i/>
                <w:iCs/>
                <w:sz w:val="20"/>
                <w:szCs w:val="20"/>
              </w:rPr>
              <w:t>Legal Profession Act 2007</w:t>
            </w:r>
            <w:r>
              <w:rPr>
                <w:sz w:val="20"/>
                <w:szCs w:val="20"/>
              </w:rPr>
              <w:t xml:space="preserve"> (Qld)</w:t>
            </w:r>
            <w:r w:rsidR="005B09E3">
              <w:rPr>
                <w:sz w:val="20"/>
                <w:szCs w:val="20"/>
              </w:rPr>
              <w:t xml:space="preserve"> (‘LPA 2007 (Qld)’) </w:t>
            </w:r>
          </w:p>
        </w:tc>
        <w:tc>
          <w:tcPr>
            <w:tcW w:w="2719" w:type="pct"/>
            <w:tcMar>
              <w:top w:w="80" w:type="dxa"/>
              <w:left w:w="120" w:type="dxa"/>
              <w:bottom w:w="80" w:type="dxa"/>
              <w:right w:w="120" w:type="dxa"/>
            </w:tcMar>
          </w:tcPr>
          <w:p w14:paraId="5860C3BA" w14:textId="77777777" w:rsidR="004D3AD5" w:rsidRDefault="004D3AD5" w:rsidP="00741D20">
            <w:hyperlink r:id="rId11" w:history="1">
              <w:r>
                <w:rPr>
                  <w:color w:val="0563C1"/>
                  <w:sz w:val="18"/>
                  <w:szCs w:val="18"/>
                  <w:u w:val="single"/>
                </w:rPr>
                <w:t>https://www.legislation.qld.gov.au/view/whole/html/inforce/current/act-2007-024</w:t>
              </w:r>
            </w:hyperlink>
          </w:p>
        </w:tc>
      </w:tr>
      <w:tr w:rsidR="004D3AD5" w14:paraId="46CF5C1F" w14:textId="77777777" w:rsidTr="004D3AD5">
        <w:tc>
          <w:tcPr>
            <w:tcW w:w="2281" w:type="pct"/>
            <w:tcMar>
              <w:top w:w="80" w:type="dxa"/>
              <w:left w:w="120" w:type="dxa"/>
              <w:bottom w:w="80" w:type="dxa"/>
              <w:right w:w="120" w:type="dxa"/>
            </w:tcMar>
          </w:tcPr>
          <w:p w14:paraId="54C6C3E5" w14:textId="77777777" w:rsidR="004D3AD5" w:rsidRDefault="004D3AD5" w:rsidP="00741D20">
            <w:r w:rsidRPr="00201EEE">
              <w:rPr>
                <w:i/>
                <w:iCs/>
                <w:sz w:val="20"/>
                <w:szCs w:val="20"/>
              </w:rPr>
              <w:t>Legal Profession Regulation 2017</w:t>
            </w:r>
            <w:r>
              <w:rPr>
                <w:sz w:val="20"/>
                <w:szCs w:val="20"/>
              </w:rPr>
              <w:t xml:space="preserve"> (Qld)</w:t>
            </w:r>
          </w:p>
        </w:tc>
        <w:tc>
          <w:tcPr>
            <w:tcW w:w="2719" w:type="pct"/>
            <w:tcMar>
              <w:top w:w="80" w:type="dxa"/>
              <w:left w:w="120" w:type="dxa"/>
              <w:bottom w:w="80" w:type="dxa"/>
              <w:right w:w="120" w:type="dxa"/>
            </w:tcMar>
          </w:tcPr>
          <w:p w14:paraId="68560374" w14:textId="77777777" w:rsidR="004D3AD5" w:rsidRDefault="004D3AD5" w:rsidP="00741D20">
            <w:hyperlink r:id="rId12" w:history="1">
              <w:r>
                <w:rPr>
                  <w:color w:val="0563C1"/>
                  <w:sz w:val="18"/>
                  <w:szCs w:val="18"/>
                  <w:u w:val="single"/>
                </w:rPr>
                <w:t>https://www.legislation.qld.gov.au/view/whole/html/inforce/current/sl-2017-0174</w:t>
              </w:r>
            </w:hyperlink>
          </w:p>
        </w:tc>
      </w:tr>
      <w:tr w:rsidR="004D3AD5" w14:paraId="6C4D2B3D" w14:textId="77777777" w:rsidTr="004D3AD5">
        <w:tc>
          <w:tcPr>
            <w:tcW w:w="2281" w:type="pct"/>
            <w:tcMar>
              <w:top w:w="80" w:type="dxa"/>
              <w:left w:w="120" w:type="dxa"/>
              <w:bottom w:w="80" w:type="dxa"/>
              <w:right w:w="120" w:type="dxa"/>
            </w:tcMar>
          </w:tcPr>
          <w:p w14:paraId="1C0DE915" w14:textId="77777777" w:rsidR="004D3AD5" w:rsidRDefault="004D3AD5" w:rsidP="00741D20">
            <w:r w:rsidRPr="00201EEE">
              <w:rPr>
                <w:i/>
                <w:iCs/>
                <w:sz w:val="20"/>
                <w:szCs w:val="20"/>
              </w:rPr>
              <w:t>Limitation of Actions Act 1974</w:t>
            </w:r>
            <w:r>
              <w:rPr>
                <w:sz w:val="20"/>
                <w:szCs w:val="20"/>
              </w:rPr>
              <w:t xml:space="preserve"> (Qld)</w:t>
            </w:r>
          </w:p>
        </w:tc>
        <w:tc>
          <w:tcPr>
            <w:tcW w:w="2719" w:type="pct"/>
            <w:tcMar>
              <w:top w:w="80" w:type="dxa"/>
              <w:left w:w="120" w:type="dxa"/>
              <w:bottom w:w="80" w:type="dxa"/>
              <w:right w:w="120" w:type="dxa"/>
            </w:tcMar>
          </w:tcPr>
          <w:p w14:paraId="5CB3799C" w14:textId="77777777" w:rsidR="004D3AD5" w:rsidRDefault="004D3AD5" w:rsidP="00741D20">
            <w:hyperlink r:id="rId13" w:history="1">
              <w:r>
                <w:rPr>
                  <w:color w:val="0563C1"/>
                  <w:sz w:val="18"/>
                  <w:szCs w:val="18"/>
                  <w:u w:val="single"/>
                </w:rPr>
                <w:t>https://www.legislation.qld.gov.au/view/whole/html/inforce/current/act-1974-075</w:t>
              </w:r>
            </w:hyperlink>
          </w:p>
        </w:tc>
      </w:tr>
      <w:tr w:rsidR="004D3AD5" w14:paraId="51CB8579" w14:textId="77777777" w:rsidTr="004D3AD5">
        <w:tc>
          <w:tcPr>
            <w:tcW w:w="2281" w:type="pct"/>
            <w:tcMar>
              <w:top w:w="80" w:type="dxa"/>
              <w:left w:w="120" w:type="dxa"/>
              <w:bottom w:w="80" w:type="dxa"/>
              <w:right w:w="120" w:type="dxa"/>
            </w:tcMar>
          </w:tcPr>
          <w:p w14:paraId="6780ADA2" w14:textId="6AF707EC" w:rsidR="004D3AD5" w:rsidRDefault="004D3AD5" w:rsidP="00741D20">
            <w:r w:rsidRPr="00201EEE">
              <w:rPr>
                <w:i/>
                <w:iCs/>
                <w:sz w:val="20"/>
                <w:szCs w:val="20"/>
              </w:rPr>
              <w:t>Anti-Money Laundering and Counter-Terrorism Financing Act 2006</w:t>
            </w:r>
            <w:r>
              <w:rPr>
                <w:sz w:val="20"/>
                <w:szCs w:val="20"/>
              </w:rPr>
              <w:t xml:space="preserve"> (</w:t>
            </w:r>
            <w:proofErr w:type="spellStart"/>
            <w:r>
              <w:rPr>
                <w:sz w:val="20"/>
                <w:szCs w:val="20"/>
              </w:rPr>
              <w:t>Cth</w:t>
            </w:r>
            <w:proofErr w:type="spellEnd"/>
            <w:r>
              <w:rPr>
                <w:sz w:val="20"/>
                <w:szCs w:val="20"/>
              </w:rPr>
              <w:t>)</w:t>
            </w:r>
            <w:r w:rsidR="005B09E3">
              <w:rPr>
                <w:sz w:val="20"/>
                <w:szCs w:val="20"/>
              </w:rPr>
              <w:t xml:space="preserve"> (‘AML/CTF Act 2006 (</w:t>
            </w:r>
            <w:proofErr w:type="spellStart"/>
            <w:r w:rsidR="005B09E3">
              <w:rPr>
                <w:sz w:val="20"/>
                <w:szCs w:val="20"/>
              </w:rPr>
              <w:t>Cth</w:t>
            </w:r>
            <w:proofErr w:type="spellEnd"/>
            <w:r w:rsidR="005B09E3">
              <w:rPr>
                <w:sz w:val="20"/>
                <w:szCs w:val="20"/>
              </w:rPr>
              <w:t>)’)</w:t>
            </w:r>
          </w:p>
        </w:tc>
        <w:tc>
          <w:tcPr>
            <w:tcW w:w="2719" w:type="pct"/>
            <w:tcMar>
              <w:top w:w="80" w:type="dxa"/>
              <w:left w:w="120" w:type="dxa"/>
              <w:bottom w:w="80" w:type="dxa"/>
              <w:right w:w="120" w:type="dxa"/>
            </w:tcMar>
          </w:tcPr>
          <w:p w14:paraId="4E91FE09" w14:textId="77777777" w:rsidR="004D3AD5" w:rsidRDefault="004D3AD5" w:rsidP="00741D20">
            <w:hyperlink r:id="rId14" w:history="1">
              <w:r>
                <w:rPr>
                  <w:color w:val="0563C1"/>
                  <w:sz w:val="18"/>
                  <w:szCs w:val="18"/>
                  <w:u w:val="single"/>
                </w:rPr>
                <w:t>https://www.legislation.gov.au/Details/C2006A00169</w:t>
              </w:r>
            </w:hyperlink>
          </w:p>
        </w:tc>
      </w:tr>
      <w:tr w:rsidR="004D3AD5" w14:paraId="28082A9B" w14:textId="77777777" w:rsidTr="004D3AD5">
        <w:tc>
          <w:tcPr>
            <w:tcW w:w="2281" w:type="pct"/>
            <w:tcMar>
              <w:top w:w="80" w:type="dxa"/>
              <w:left w:w="120" w:type="dxa"/>
              <w:bottom w:w="80" w:type="dxa"/>
              <w:right w:w="120" w:type="dxa"/>
            </w:tcMar>
          </w:tcPr>
          <w:p w14:paraId="07CC4382" w14:textId="77777777" w:rsidR="004D3AD5" w:rsidRDefault="004D3AD5" w:rsidP="00741D20">
            <w:r>
              <w:rPr>
                <w:sz w:val="20"/>
                <w:szCs w:val="20"/>
              </w:rPr>
              <w:t>AUSTRAC — Record keeping overview</w:t>
            </w:r>
          </w:p>
        </w:tc>
        <w:tc>
          <w:tcPr>
            <w:tcW w:w="2719" w:type="pct"/>
            <w:tcMar>
              <w:top w:w="80" w:type="dxa"/>
              <w:left w:w="120" w:type="dxa"/>
              <w:bottom w:w="80" w:type="dxa"/>
              <w:right w:w="120" w:type="dxa"/>
            </w:tcMar>
          </w:tcPr>
          <w:p w14:paraId="42468FD1" w14:textId="731BE93A" w:rsidR="004D3AD5" w:rsidRPr="00201EEE" w:rsidRDefault="005333C9" w:rsidP="00741D20">
            <w:pPr>
              <w:rPr>
                <w:sz w:val="18"/>
                <w:szCs w:val="18"/>
              </w:rPr>
            </w:pPr>
            <w:hyperlink r:id="rId15" w:history="1">
              <w:r w:rsidRPr="00201EEE">
                <w:rPr>
                  <w:rStyle w:val="Hyperlink"/>
                  <w:sz w:val="18"/>
                  <w:szCs w:val="18"/>
                </w:rPr>
                <w:t>https://www.austrac.gov.au/industry-and-business/obligations-and-guidance/your-amlctf-program/develop-your-amlctf-programs/record-keeping/record-keeping-overview</w:t>
              </w:r>
            </w:hyperlink>
            <w:r w:rsidRPr="00201EEE">
              <w:rPr>
                <w:sz w:val="18"/>
                <w:szCs w:val="18"/>
              </w:rPr>
              <w:t xml:space="preserve"> </w:t>
            </w:r>
          </w:p>
        </w:tc>
      </w:tr>
      <w:tr w:rsidR="004D3AD5" w14:paraId="0B047578" w14:textId="77777777" w:rsidTr="004D3AD5">
        <w:tc>
          <w:tcPr>
            <w:tcW w:w="2281" w:type="pct"/>
            <w:tcMar>
              <w:top w:w="80" w:type="dxa"/>
              <w:left w:w="120" w:type="dxa"/>
              <w:bottom w:w="80" w:type="dxa"/>
              <w:right w:w="120" w:type="dxa"/>
            </w:tcMar>
          </w:tcPr>
          <w:p w14:paraId="5C574271" w14:textId="77777777" w:rsidR="004D3AD5" w:rsidRDefault="004D3AD5" w:rsidP="00741D20">
            <w:r w:rsidRPr="00201EEE">
              <w:rPr>
                <w:i/>
                <w:iCs/>
                <w:sz w:val="20"/>
                <w:szCs w:val="20"/>
              </w:rPr>
              <w:t>Privacy Act 1988</w:t>
            </w:r>
            <w:r>
              <w:rPr>
                <w:sz w:val="20"/>
                <w:szCs w:val="20"/>
              </w:rPr>
              <w:t xml:space="preserve"> (</w:t>
            </w:r>
            <w:proofErr w:type="spellStart"/>
            <w:r>
              <w:rPr>
                <w:sz w:val="20"/>
                <w:szCs w:val="20"/>
              </w:rPr>
              <w:t>Cth</w:t>
            </w:r>
            <w:proofErr w:type="spellEnd"/>
            <w:r>
              <w:rPr>
                <w:sz w:val="20"/>
                <w:szCs w:val="20"/>
              </w:rPr>
              <w:t>)</w:t>
            </w:r>
          </w:p>
        </w:tc>
        <w:tc>
          <w:tcPr>
            <w:tcW w:w="2719" w:type="pct"/>
            <w:tcMar>
              <w:top w:w="80" w:type="dxa"/>
              <w:left w:w="120" w:type="dxa"/>
              <w:bottom w:w="80" w:type="dxa"/>
              <w:right w:w="120" w:type="dxa"/>
            </w:tcMar>
          </w:tcPr>
          <w:p w14:paraId="1A9CC37E" w14:textId="77777777" w:rsidR="004D3AD5" w:rsidRDefault="004D3AD5" w:rsidP="00741D20">
            <w:hyperlink r:id="rId16" w:history="1">
              <w:r>
                <w:rPr>
                  <w:color w:val="0563C1"/>
                  <w:sz w:val="18"/>
                  <w:szCs w:val="18"/>
                  <w:u w:val="single"/>
                </w:rPr>
                <w:t>https://www.legislation.gov.au/Details/C2014C00076</w:t>
              </w:r>
            </w:hyperlink>
          </w:p>
        </w:tc>
      </w:tr>
      <w:tr w:rsidR="004D3AD5" w14:paraId="503FE1CA" w14:textId="77777777" w:rsidTr="004D3AD5">
        <w:tc>
          <w:tcPr>
            <w:tcW w:w="2281" w:type="pct"/>
            <w:tcMar>
              <w:top w:w="80" w:type="dxa"/>
              <w:left w:w="120" w:type="dxa"/>
              <w:bottom w:w="80" w:type="dxa"/>
              <w:right w:w="120" w:type="dxa"/>
            </w:tcMar>
          </w:tcPr>
          <w:p w14:paraId="451B3504" w14:textId="77777777" w:rsidR="004D3AD5" w:rsidRDefault="004D3AD5" w:rsidP="00741D20">
            <w:r>
              <w:rPr>
                <w:sz w:val="20"/>
                <w:szCs w:val="20"/>
              </w:rPr>
              <w:t>OAIC — Chapter 11: APP 11 Security of personal information</w:t>
            </w:r>
          </w:p>
        </w:tc>
        <w:tc>
          <w:tcPr>
            <w:tcW w:w="2719" w:type="pct"/>
            <w:tcMar>
              <w:top w:w="80" w:type="dxa"/>
              <w:left w:w="120" w:type="dxa"/>
              <w:bottom w:w="80" w:type="dxa"/>
              <w:right w:w="120" w:type="dxa"/>
            </w:tcMar>
          </w:tcPr>
          <w:p w14:paraId="3FCDABAD" w14:textId="77777777" w:rsidR="004D3AD5" w:rsidRDefault="004D3AD5" w:rsidP="00741D20">
            <w:hyperlink r:id="rId17" w:history="1">
              <w:r>
                <w:rPr>
                  <w:color w:val="0563C1"/>
                  <w:sz w:val="18"/>
                  <w:szCs w:val="18"/>
                  <w:u w:val="single"/>
                </w:rPr>
                <w:t>https://www.oaic.gov.au/privacy/australian-privacy-principles/australian-privacy-principles-guidelines/chapter-11-app-11-security-of-personal-information</w:t>
              </w:r>
            </w:hyperlink>
          </w:p>
        </w:tc>
      </w:tr>
      <w:tr w:rsidR="004D3AD5" w14:paraId="376DED7F" w14:textId="77777777" w:rsidTr="004D3AD5">
        <w:tc>
          <w:tcPr>
            <w:tcW w:w="2281" w:type="pct"/>
            <w:tcMar>
              <w:top w:w="80" w:type="dxa"/>
              <w:left w:w="120" w:type="dxa"/>
              <w:bottom w:w="80" w:type="dxa"/>
              <w:right w:w="120" w:type="dxa"/>
            </w:tcMar>
          </w:tcPr>
          <w:p w14:paraId="3DC5E956" w14:textId="77777777" w:rsidR="004D3AD5" w:rsidRDefault="004D3AD5" w:rsidP="00741D20">
            <w:r>
              <w:rPr>
                <w:sz w:val="20"/>
                <w:szCs w:val="20"/>
              </w:rPr>
              <w:t>OAIC — Privacy guidance for reporting entities under the AML/CTF Act</w:t>
            </w:r>
          </w:p>
        </w:tc>
        <w:tc>
          <w:tcPr>
            <w:tcW w:w="2719" w:type="pct"/>
            <w:tcMar>
              <w:top w:w="80" w:type="dxa"/>
              <w:left w:w="120" w:type="dxa"/>
              <w:bottom w:w="80" w:type="dxa"/>
              <w:right w:w="120" w:type="dxa"/>
            </w:tcMar>
          </w:tcPr>
          <w:p w14:paraId="6C9551BF" w14:textId="77777777" w:rsidR="004D3AD5" w:rsidRDefault="004D3AD5" w:rsidP="00741D20">
            <w:hyperlink r:id="rId18" w:history="1">
              <w:r>
                <w:rPr>
                  <w:color w:val="0563C1"/>
                  <w:sz w:val="18"/>
                  <w:szCs w:val="18"/>
                  <w:u w:val="single"/>
                </w:rPr>
                <w:t>https://www.oaic.gov.au/privacy/privacy-guidance-for-organisations-and-government-agencies/organisations/privacy-guidance-for-reporting-entities-under-the-anti-money-laundering-and-counter-terrorism-financing-act</w:t>
              </w:r>
            </w:hyperlink>
          </w:p>
        </w:tc>
      </w:tr>
      <w:tr w:rsidR="004D3AD5" w14:paraId="00E86E68" w14:textId="77777777" w:rsidTr="004D3AD5">
        <w:tc>
          <w:tcPr>
            <w:tcW w:w="2281" w:type="pct"/>
            <w:tcMar>
              <w:top w:w="80" w:type="dxa"/>
              <w:left w:w="120" w:type="dxa"/>
              <w:bottom w:w="80" w:type="dxa"/>
              <w:right w:w="120" w:type="dxa"/>
            </w:tcMar>
          </w:tcPr>
          <w:p w14:paraId="0F3CE433" w14:textId="77777777" w:rsidR="004D3AD5" w:rsidRDefault="004D3AD5" w:rsidP="00741D20">
            <w:r w:rsidRPr="00201EEE">
              <w:rPr>
                <w:i/>
                <w:iCs/>
                <w:sz w:val="20"/>
                <w:szCs w:val="20"/>
              </w:rPr>
              <w:t>Fair Work Act 2009</w:t>
            </w:r>
            <w:r>
              <w:rPr>
                <w:sz w:val="20"/>
                <w:szCs w:val="20"/>
              </w:rPr>
              <w:t xml:space="preserve"> (</w:t>
            </w:r>
            <w:proofErr w:type="spellStart"/>
            <w:r>
              <w:rPr>
                <w:sz w:val="20"/>
                <w:szCs w:val="20"/>
              </w:rPr>
              <w:t>Cth</w:t>
            </w:r>
            <w:proofErr w:type="spellEnd"/>
            <w:r>
              <w:rPr>
                <w:sz w:val="20"/>
                <w:szCs w:val="20"/>
              </w:rPr>
              <w:t>) s 535</w:t>
            </w:r>
          </w:p>
        </w:tc>
        <w:tc>
          <w:tcPr>
            <w:tcW w:w="2719" w:type="pct"/>
            <w:tcMar>
              <w:top w:w="80" w:type="dxa"/>
              <w:left w:w="120" w:type="dxa"/>
              <w:bottom w:w="80" w:type="dxa"/>
              <w:right w:w="120" w:type="dxa"/>
            </w:tcMar>
          </w:tcPr>
          <w:p w14:paraId="2E0B41CF" w14:textId="77777777" w:rsidR="004D3AD5" w:rsidRDefault="004D3AD5" w:rsidP="00741D20">
            <w:hyperlink r:id="rId19" w:history="1">
              <w:r>
                <w:rPr>
                  <w:color w:val="0563C1"/>
                  <w:sz w:val="18"/>
                  <w:szCs w:val="18"/>
                  <w:u w:val="single"/>
                </w:rPr>
                <w:t>https://www.legislation.gov.au/Details/C2009A00028</w:t>
              </w:r>
            </w:hyperlink>
          </w:p>
        </w:tc>
      </w:tr>
      <w:tr w:rsidR="004D3AD5" w14:paraId="579C7E81" w14:textId="77777777" w:rsidTr="004D3AD5">
        <w:tc>
          <w:tcPr>
            <w:tcW w:w="2281" w:type="pct"/>
            <w:tcMar>
              <w:top w:w="80" w:type="dxa"/>
              <w:left w:w="120" w:type="dxa"/>
              <w:bottom w:w="80" w:type="dxa"/>
              <w:right w:w="120" w:type="dxa"/>
            </w:tcMar>
          </w:tcPr>
          <w:p w14:paraId="6FE034D7" w14:textId="77777777" w:rsidR="004D3AD5" w:rsidRDefault="004D3AD5" w:rsidP="00741D20">
            <w:r w:rsidRPr="00201EEE">
              <w:rPr>
                <w:i/>
                <w:iCs/>
                <w:sz w:val="20"/>
                <w:szCs w:val="20"/>
              </w:rPr>
              <w:t>Corporations Act 2001</w:t>
            </w:r>
            <w:r>
              <w:rPr>
                <w:sz w:val="20"/>
                <w:szCs w:val="20"/>
              </w:rPr>
              <w:t xml:space="preserve"> (</w:t>
            </w:r>
            <w:proofErr w:type="spellStart"/>
            <w:r>
              <w:rPr>
                <w:sz w:val="20"/>
                <w:szCs w:val="20"/>
              </w:rPr>
              <w:t>Cth</w:t>
            </w:r>
            <w:proofErr w:type="spellEnd"/>
            <w:r>
              <w:rPr>
                <w:sz w:val="20"/>
                <w:szCs w:val="20"/>
              </w:rPr>
              <w:t>) s 286</w:t>
            </w:r>
          </w:p>
        </w:tc>
        <w:tc>
          <w:tcPr>
            <w:tcW w:w="2719" w:type="pct"/>
            <w:tcMar>
              <w:top w:w="80" w:type="dxa"/>
              <w:left w:w="120" w:type="dxa"/>
              <w:bottom w:w="80" w:type="dxa"/>
              <w:right w:w="120" w:type="dxa"/>
            </w:tcMar>
          </w:tcPr>
          <w:p w14:paraId="07580AA1" w14:textId="77777777" w:rsidR="004D3AD5" w:rsidRDefault="004D3AD5" w:rsidP="00741D20">
            <w:hyperlink r:id="rId20" w:history="1">
              <w:r>
                <w:rPr>
                  <w:color w:val="0563C1"/>
                  <w:sz w:val="18"/>
                  <w:szCs w:val="18"/>
                  <w:u w:val="single"/>
                </w:rPr>
                <w:t>https://www.legislation.gov.au/Details/C2018C00031</w:t>
              </w:r>
            </w:hyperlink>
          </w:p>
        </w:tc>
      </w:tr>
      <w:tr w:rsidR="004D3AD5" w14:paraId="0EF5388B" w14:textId="77777777" w:rsidTr="004D3AD5">
        <w:tc>
          <w:tcPr>
            <w:tcW w:w="2281" w:type="pct"/>
            <w:tcMar>
              <w:top w:w="80" w:type="dxa"/>
              <w:left w:w="120" w:type="dxa"/>
              <w:bottom w:w="80" w:type="dxa"/>
              <w:right w:w="120" w:type="dxa"/>
            </w:tcMar>
          </w:tcPr>
          <w:p w14:paraId="29AE07A9" w14:textId="77777777" w:rsidR="004D3AD5" w:rsidRDefault="004D3AD5" w:rsidP="00741D20">
            <w:r>
              <w:rPr>
                <w:sz w:val="20"/>
                <w:szCs w:val="20"/>
              </w:rPr>
              <w:t>ASIC — Company record keeping</w:t>
            </w:r>
          </w:p>
        </w:tc>
        <w:tc>
          <w:tcPr>
            <w:tcW w:w="2719" w:type="pct"/>
            <w:tcMar>
              <w:top w:w="80" w:type="dxa"/>
              <w:left w:w="120" w:type="dxa"/>
              <w:bottom w:w="80" w:type="dxa"/>
              <w:right w:w="120" w:type="dxa"/>
            </w:tcMar>
          </w:tcPr>
          <w:p w14:paraId="1468AE59" w14:textId="77777777" w:rsidR="004D3AD5" w:rsidRDefault="004D3AD5" w:rsidP="00741D20">
            <w:hyperlink r:id="rId21" w:history="1">
              <w:r>
                <w:rPr>
                  <w:color w:val="0563C1"/>
                  <w:sz w:val="18"/>
                  <w:szCs w:val="18"/>
                  <w:u w:val="single"/>
                </w:rPr>
                <w:t>https://www.asic.gov.au/for-business-and-companies/companies/company-building-blocks/company-record-keeping/</w:t>
              </w:r>
            </w:hyperlink>
          </w:p>
        </w:tc>
      </w:tr>
      <w:tr w:rsidR="004D3AD5" w14:paraId="4683CEFA" w14:textId="77777777" w:rsidTr="004D3AD5">
        <w:tc>
          <w:tcPr>
            <w:tcW w:w="2281" w:type="pct"/>
            <w:tcMar>
              <w:top w:w="80" w:type="dxa"/>
              <w:left w:w="120" w:type="dxa"/>
              <w:bottom w:w="80" w:type="dxa"/>
              <w:right w:w="120" w:type="dxa"/>
            </w:tcMar>
          </w:tcPr>
          <w:p w14:paraId="7086E66A" w14:textId="33583CF2" w:rsidR="004D3AD5" w:rsidRDefault="004D3AD5" w:rsidP="00741D20">
            <w:r w:rsidRPr="00201EEE">
              <w:rPr>
                <w:i/>
                <w:iCs/>
                <w:sz w:val="20"/>
                <w:szCs w:val="20"/>
              </w:rPr>
              <w:t>Income Tax Assessment Act 1936</w:t>
            </w:r>
            <w:r>
              <w:rPr>
                <w:sz w:val="20"/>
                <w:szCs w:val="20"/>
              </w:rPr>
              <w:t xml:space="preserve"> (</w:t>
            </w:r>
            <w:proofErr w:type="spellStart"/>
            <w:r>
              <w:rPr>
                <w:sz w:val="20"/>
                <w:szCs w:val="20"/>
              </w:rPr>
              <w:t>Cth</w:t>
            </w:r>
            <w:proofErr w:type="spellEnd"/>
            <w:r>
              <w:rPr>
                <w:sz w:val="20"/>
                <w:szCs w:val="20"/>
              </w:rPr>
              <w:t>)</w:t>
            </w:r>
            <w:r w:rsidR="005B09E3">
              <w:rPr>
                <w:sz w:val="20"/>
                <w:szCs w:val="20"/>
              </w:rPr>
              <w:t xml:space="preserve"> (‘ITAA 1936 (</w:t>
            </w:r>
            <w:proofErr w:type="spellStart"/>
            <w:r w:rsidR="005B09E3">
              <w:rPr>
                <w:sz w:val="20"/>
                <w:szCs w:val="20"/>
              </w:rPr>
              <w:t>Cth</w:t>
            </w:r>
            <w:proofErr w:type="spellEnd"/>
            <w:r w:rsidR="005B09E3">
              <w:rPr>
                <w:sz w:val="20"/>
                <w:szCs w:val="20"/>
              </w:rPr>
              <w:t>)’)</w:t>
            </w:r>
          </w:p>
        </w:tc>
        <w:tc>
          <w:tcPr>
            <w:tcW w:w="2719" w:type="pct"/>
            <w:tcMar>
              <w:top w:w="80" w:type="dxa"/>
              <w:left w:w="120" w:type="dxa"/>
              <w:bottom w:w="80" w:type="dxa"/>
              <w:right w:w="120" w:type="dxa"/>
            </w:tcMar>
          </w:tcPr>
          <w:p w14:paraId="02425A03" w14:textId="10CF57B3" w:rsidR="004D3AD5" w:rsidRPr="00201EEE" w:rsidRDefault="005333C9" w:rsidP="00741D20">
            <w:pPr>
              <w:rPr>
                <w:sz w:val="18"/>
                <w:szCs w:val="18"/>
              </w:rPr>
            </w:pPr>
            <w:hyperlink r:id="rId22" w:history="1">
              <w:r w:rsidRPr="00201EEE">
                <w:rPr>
                  <w:rStyle w:val="Hyperlink"/>
                  <w:sz w:val="18"/>
                  <w:szCs w:val="18"/>
                </w:rPr>
                <w:t>https://www.legislation.gov.au/C1936A00027</w:t>
              </w:r>
            </w:hyperlink>
            <w:r w:rsidRPr="00201EEE">
              <w:rPr>
                <w:sz w:val="18"/>
                <w:szCs w:val="18"/>
              </w:rPr>
              <w:t xml:space="preserve">  </w:t>
            </w:r>
          </w:p>
        </w:tc>
      </w:tr>
      <w:tr w:rsidR="004D3AD5" w14:paraId="60BF1CC6" w14:textId="77777777" w:rsidTr="004D3AD5">
        <w:tc>
          <w:tcPr>
            <w:tcW w:w="2281" w:type="pct"/>
            <w:tcMar>
              <w:top w:w="80" w:type="dxa"/>
              <w:left w:w="120" w:type="dxa"/>
              <w:bottom w:w="80" w:type="dxa"/>
              <w:right w:w="120" w:type="dxa"/>
            </w:tcMar>
          </w:tcPr>
          <w:p w14:paraId="49A814E7" w14:textId="77777777" w:rsidR="004D3AD5" w:rsidRDefault="004D3AD5" w:rsidP="00741D20">
            <w:r>
              <w:rPr>
                <w:sz w:val="20"/>
                <w:szCs w:val="20"/>
              </w:rPr>
              <w:t>ATO — Overview of record-keeping rules for business</w:t>
            </w:r>
          </w:p>
        </w:tc>
        <w:tc>
          <w:tcPr>
            <w:tcW w:w="2719" w:type="pct"/>
            <w:tcMar>
              <w:top w:w="80" w:type="dxa"/>
              <w:left w:w="120" w:type="dxa"/>
              <w:bottom w:w="80" w:type="dxa"/>
              <w:right w:w="120" w:type="dxa"/>
            </w:tcMar>
          </w:tcPr>
          <w:p w14:paraId="5036C8B8" w14:textId="77777777" w:rsidR="004D3AD5" w:rsidRDefault="004D3AD5" w:rsidP="00741D20">
            <w:hyperlink r:id="rId23" w:history="1">
              <w:r>
                <w:rPr>
                  <w:color w:val="0563C1"/>
                  <w:sz w:val="18"/>
                  <w:szCs w:val="18"/>
                  <w:u w:val="single"/>
                </w:rPr>
                <w:t>https://www.ato.gov.au/businesses-and-organisations/preparing-lodging-and-paying/record-keeping-for-business/overview-of-record-keeping-rules-for-business</w:t>
              </w:r>
            </w:hyperlink>
          </w:p>
        </w:tc>
      </w:tr>
      <w:tr w:rsidR="004D3AD5" w14:paraId="268030EB" w14:textId="77777777" w:rsidTr="004D3AD5">
        <w:tc>
          <w:tcPr>
            <w:tcW w:w="2281" w:type="pct"/>
            <w:tcMar>
              <w:top w:w="80" w:type="dxa"/>
              <w:left w:w="120" w:type="dxa"/>
              <w:bottom w:w="80" w:type="dxa"/>
              <w:right w:w="120" w:type="dxa"/>
            </w:tcMar>
          </w:tcPr>
          <w:p w14:paraId="1EBFC148" w14:textId="77777777" w:rsidR="004D3AD5" w:rsidRDefault="004D3AD5" w:rsidP="00741D20">
            <w:r>
              <w:rPr>
                <w:sz w:val="20"/>
                <w:szCs w:val="20"/>
              </w:rPr>
              <w:t>Queensland Law Society — Client document retention guide</w:t>
            </w:r>
          </w:p>
        </w:tc>
        <w:tc>
          <w:tcPr>
            <w:tcW w:w="2719" w:type="pct"/>
            <w:tcMar>
              <w:top w:w="80" w:type="dxa"/>
              <w:left w:w="120" w:type="dxa"/>
              <w:bottom w:w="80" w:type="dxa"/>
              <w:right w:w="120" w:type="dxa"/>
            </w:tcMar>
          </w:tcPr>
          <w:p w14:paraId="3D66A978" w14:textId="77777777" w:rsidR="004D3AD5" w:rsidRDefault="004D3AD5" w:rsidP="00741D20">
            <w:hyperlink r:id="rId24" w:history="1">
              <w:r>
                <w:rPr>
                  <w:color w:val="0563C1"/>
                  <w:sz w:val="18"/>
                  <w:szCs w:val="18"/>
                  <w:u w:val="single"/>
                </w:rPr>
                <w:t>https://www.qls.com.au/content-collections/guides/document-retention-guide</w:t>
              </w:r>
            </w:hyperlink>
          </w:p>
        </w:tc>
      </w:tr>
      <w:tr w:rsidR="004D3AD5" w14:paraId="5E329978" w14:textId="77777777" w:rsidTr="004D3AD5">
        <w:tc>
          <w:tcPr>
            <w:tcW w:w="2281" w:type="pct"/>
            <w:tcMar>
              <w:top w:w="80" w:type="dxa"/>
              <w:left w:w="120" w:type="dxa"/>
              <w:bottom w:w="80" w:type="dxa"/>
              <w:right w:w="120" w:type="dxa"/>
            </w:tcMar>
          </w:tcPr>
          <w:p w14:paraId="4A1BD475" w14:textId="77777777" w:rsidR="004D3AD5" w:rsidRDefault="004D3AD5" w:rsidP="00741D20">
            <w:r>
              <w:rPr>
                <w:sz w:val="20"/>
                <w:szCs w:val="20"/>
              </w:rPr>
              <w:t>Law Institute of Victoria — File ownership, retention and destruction guidelines</w:t>
            </w:r>
          </w:p>
        </w:tc>
        <w:tc>
          <w:tcPr>
            <w:tcW w:w="2719" w:type="pct"/>
            <w:tcMar>
              <w:top w:w="80" w:type="dxa"/>
              <w:left w:w="120" w:type="dxa"/>
              <w:bottom w:w="80" w:type="dxa"/>
              <w:right w:w="120" w:type="dxa"/>
            </w:tcMar>
          </w:tcPr>
          <w:p w14:paraId="28B260A6" w14:textId="77777777" w:rsidR="004D3AD5" w:rsidRDefault="004D3AD5" w:rsidP="00741D20">
            <w:hyperlink r:id="rId25" w:history="1">
              <w:r>
                <w:rPr>
                  <w:color w:val="0563C1"/>
                  <w:sz w:val="18"/>
                  <w:szCs w:val="18"/>
                  <w:u w:val="single"/>
                </w:rPr>
                <w:t>https://www.liv.asn.au/download.aspx?DocumentVersionKey=73dcb2c9-df65-41b1-8dc7-8ef86840a5bf</w:t>
              </w:r>
            </w:hyperlink>
          </w:p>
        </w:tc>
      </w:tr>
      <w:tr w:rsidR="004D3AD5" w14:paraId="6067547F" w14:textId="77777777" w:rsidTr="004D3AD5">
        <w:tc>
          <w:tcPr>
            <w:tcW w:w="2281" w:type="pct"/>
            <w:tcMar>
              <w:top w:w="80" w:type="dxa"/>
              <w:left w:w="120" w:type="dxa"/>
              <w:bottom w:w="80" w:type="dxa"/>
              <w:right w:w="120" w:type="dxa"/>
            </w:tcMar>
          </w:tcPr>
          <w:p w14:paraId="56367047" w14:textId="77777777" w:rsidR="004D3AD5" w:rsidRDefault="004D3AD5" w:rsidP="00741D20">
            <w:r>
              <w:rPr>
                <w:sz w:val="20"/>
                <w:szCs w:val="20"/>
              </w:rPr>
              <w:t>Australian Solicitors’ Conduct Rules 2012 (LCA)</w:t>
            </w:r>
          </w:p>
        </w:tc>
        <w:tc>
          <w:tcPr>
            <w:tcW w:w="2719" w:type="pct"/>
            <w:tcMar>
              <w:top w:w="80" w:type="dxa"/>
              <w:left w:w="120" w:type="dxa"/>
              <w:bottom w:w="80" w:type="dxa"/>
              <w:right w:w="120" w:type="dxa"/>
            </w:tcMar>
          </w:tcPr>
          <w:p w14:paraId="017E2BEA" w14:textId="77777777" w:rsidR="004D3AD5" w:rsidRDefault="004D3AD5" w:rsidP="00741D20">
            <w:hyperlink r:id="rId26" w:history="1">
              <w:r>
                <w:rPr>
                  <w:color w:val="0563C1"/>
                  <w:sz w:val="18"/>
                  <w:szCs w:val="18"/>
                  <w:u w:val="single"/>
                </w:rPr>
                <w:t>https://lawcouncil.au/policy-agenda/regulation-of-the-profession-and-ethics/australian-solicitors-conduct-rules</w:t>
              </w:r>
            </w:hyperlink>
          </w:p>
        </w:tc>
      </w:tr>
    </w:tbl>
    <w:p w14:paraId="3445078E" w14:textId="2369488F" w:rsidR="00865E2B" w:rsidRDefault="009B32F5">
      <w:pPr>
        <w:pageBreakBefore/>
        <w:spacing w:after="60"/>
      </w:pPr>
      <w:r>
        <w:rPr>
          <w:b/>
          <w:bCs/>
          <w:color w:val="1F2A44"/>
          <w:sz w:val="28"/>
          <w:szCs w:val="28"/>
        </w:rPr>
        <w:lastRenderedPageBreak/>
        <w:t>[ Firm Name] Document Retention Policy</w:t>
      </w:r>
    </w:p>
    <w:p w14:paraId="573FAA53" w14:textId="29EB047E" w:rsidR="00865E2B" w:rsidRDefault="00865E2B">
      <w:pPr>
        <w:pBdr>
          <w:bottom w:val="single" w:sz="12" w:space="4" w:color="1F2A44"/>
        </w:pBdr>
        <w:spacing w:after="240"/>
      </w:pPr>
    </w:p>
    <w:p w14:paraId="407626E4" w14:textId="77777777" w:rsidR="00865E2B" w:rsidRDefault="001759CD">
      <w:pPr>
        <w:spacing w:after="120" w:line="300" w:lineRule="auto"/>
      </w:pPr>
      <w:r>
        <w:t xml:space="preserve">This template policy is provided for adaptation. Defined terms (in bold) take the meaning given in the firm’s standard glossary or, if undefined, the meaning given in the legislation referred to in the right-hand column. The retention period is expressed as a </w:t>
      </w:r>
      <w:r>
        <w:rPr>
          <w:i/>
          <w:iCs/>
        </w:rPr>
        <w:t>minimum</w:t>
      </w:r>
      <w:r>
        <w:t>. Where a record falls within more than one category, the longest applicable period applies.</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0" w:type="dxa"/>
          <w:right w:w="10" w:type="dxa"/>
        </w:tblCellMar>
        <w:tblLook w:val="0000" w:firstRow="0" w:lastRow="0" w:firstColumn="0" w:lastColumn="0" w:noHBand="0" w:noVBand="0"/>
      </w:tblPr>
      <w:tblGrid>
        <w:gridCol w:w="2912"/>
        <w:gridCol w:w="4030"/>
        <w:gridCol w:w="2551"/>
        <w:gridCol w:w="5067"/>
      </w:tblGrid>
      <w:tr w:rsidR="00865E2B" w14:paraId="677F6A90" w14:textId="77777777" w:rsidTr="00FC20A7">
        <w:trPr>
          <w:tblHeader/>
        </w:trPr>
        <w:tc>
          <w:tcPr>
            <w:tcW w:w="1000" w:type="pct"/>
            <w:shd w:val="solid" w:color="1F2A44" w:fill="1F2A44"/>
            <w:tcMar>
              <w:top w:w="100" w:type="dxa"/>
              <w:left w:w="120" w:type="dxa"/>
              <w:bottom w:w="100" w:type="dxa"/>
              <w:right w:w="120" w:type="dxa"/>
            </w:tcMar>
          </w:tcPr>
          <w:p w14:paraId="0FBED285" w14:textId="77777777" w:rsidR="00865E2B" w:rsidRDefault="001759CD">
            <w:r>
              <w:rPr>
                <w:b/>
                <w:bCs/>
                <w:color w:val="FFFFFF"/>
                <w:sz w:val="20"/>
                <w:szCs w:val="20"/>
              </w:rPr>
              <w:t>Record category</w:t>
            </w:r>
          </w:p>
        </w:tc>
        <w:tc>
          <w:tcPr>
            <w:tcW w:w="1384" w:type="pct"/>
            <w:shd w:val="solid" w:color="1F2A44" w:fill="1F2A44"/>
            <w:tcMar>
              <w:top w:w="100" w:type="dxa"/>
              <w:left w:w="120" w:type="dxa"/>
              <w:bottom w:w="100" w:type="dxa"/>
              <w:right w:w="120" w:type="dxa"/>
            </w:tcMar>
          </w:tcPr>
          <w:p w14:paraId="269EFC0E" w14:textId="77777777" w:rsidR="00865E2B" w:rsidRDefault="001759CD">
            <w:r>
              <w:rPr>
                <w:b/>
                <w:bCs/>
                <w:color w:val="FFFFFF"/>
                <w:sz w:val="20"/>
                <w:szCs w:val="20"/>
              </w:rPr>
              <w:t>Examples</w:t>
            </w:r>
          </w:p>
        </w:tc>
        <w:tc>
          <w:tcPr>
            <w:tcW w:w="876" w:type="pct"/>
            <w:shd w:val="solid" w:color="1F2A44" w:fill="1F2A44"/>
            <w:tcMar>
              <w:top w:w="100" w:type="dxa"/>
              <w:left w:w="120" w:type="dxa"/>
              <w:bottom w:w="100" w:type="dxa"/>
              <w:right w:w="120" w:type="dxa"/>
            </w:tcMar>
          </w:tcPr>
          <w:p w14:paraId="3C38605B" w14:textId="77777777" w:rsidR="00865E2B" w:rsidRDefault="001759CD">
            <w:r>
              <w:rPr>
                <w:b/>
                <w:bCs/>
                <w:color w:val="FFFFFF"/>
                <w:sz w:val="20"/>
                <w:szCs w:val="20"/>
              </w:rPr>
              <w:t>Minimum retention period</w:t>
            </w:r>
          </w:p>
        </w:tc>
        <w:tc>
          <w:tcPr>
            <w:tcW w:w="1740" w:type="pct"/>
            <w:shd w:val="solid" w:color="1F2A44" w:fill="1F2A44"/>
            <w:tcMar>
              <w:top w:w="100" w:type="dxa"/>
              <w:left w:w="120" w:type="dxa"/>
              <w:bottom w:w="100" w:type="dxa"/>
              <w:right w:w="120" w:type="dxa"/>
            </w:tcMar>
          </w:tcPr>
          <w:p w14:paraId="59D55088" w14:textId="625F65C1" w:rsidR="00865E2B" w:rsidRDefault="001759CD">
            <w:r>
              <w:rPr>
                <w:b/>
                <w:bCs/>
                <w:color w:val="FFFFFF"/>
                <w:sz w:val="20"/>
                <w:szCs w:val="20"/>
              </w:rPr>
              <w:t xml:space="preserve">Trigger </w:t>
            </w:r>
            <w:r w:rsidR="00B35FBA">
              <w:rPr>
                <w:b/>
                <w:bCs/>
                <w:color w:val="FFFFFF"/>
                <w:sz w:val="20"/>
                <w:szCs w:val="20"/>
              </w:rPr>
              <w:t>date, Basis for retention</w:t>
            </w:r>
          </w:p>
        </w:tc>
      </w:tr>
      <w:tr w:rsidR="00865E2B" w14:paraId="04422CBA" w14:textId="77777777" w:rsidTr="00FC20A7">
        <w:tc>
          <w:tcPr>
            <w:tcW w:w="1000" w:type="pct"/>
            <w:tcMar>
              <w:top w:w="100" w:type="dxa"/>
              <w:left w:w="120" w:type="dxa"/>
              <w:bottom w:w="100" w:type="dxa"/>
              <w:right w:w="120" w:type="dxa"/>
            </w:tcMar>
          </w:tcPr>
          <w:p w14:paraId="1E280B81" w14:textId="77777777" w:rsidR="00865E2B" w:rsidRDefault="001759CD">
            <w:pPr>
              <w:spacing w:after="60" w:line="260" w:lineRule="auto"/>
            </w:pPr>
            <w:r>
              <w:rPr>
                <w:sz w:val="20"/>
                <w:szCs w:val="20"/>
              </w:rPr>
              <w:t>Client matter file (general)</w:t>
            </w:r>
          </w:p>
        </w:tc>
        <w:tc>
          <w:tcPr>
            <w:tcW w:w="1384" w:type="pct"/>
            <w:tcMar>
              <w:top w:w="100" w:type="dxa"/>
              <w:left w:w="120" w:type="dxa"/>
              <w:bottom w:w="100" w:type="dxa"/>
              <w:right w:w="120" w:type="dxa"/>
            </w:tcMar>
          </w:tcPr>
          <w:p w14:paraId="014E0AA4" w14:textId="77777777" w:rsidR="00865E2B" w:rsidRDefault="001759CD">
            <w:pPr>
              <w:spacing w:after="60" w:line="260" w:lineRule="auto"/>
            </w:pPr>
            <w:r>
              <w:rPr>
                <w:sz w:val="20"/>
                <w:szCs w:val="20"/>
              </w:rPr>
              <w:t xml:space="preserve">Correspondence, file notes, draft and final documents, </w:t>
            </w:r>
            <w:proofErr w:type="gramStart"/>
            <w:r>
              <w:rPr>
                <w:sz w:val="20"/>
                <w:szCs w:val="20"/>
              </w:rPr>
              <w:t>advices</w:t>
            </w:r>
            <w:proofErr w:type="gramEnd"/>
            <w:r>
              <w:rPr>
                <w:sz w:val="20"/>
                <w:szCs w:val="20"/>
              </w:rPr>
              <w:t>, court documents (copies)</w:t>
            </w:r>
          </w:p>
        </w:tc>
        <w:tc>
          <w:tcPr>
            <w:tcW w:w="876" w:type="pct"/>
            <w:tcMar>
              <w:top w:w="100" w:type="dxa"/>
              <w:left w:w="120" w:type="dxa"/>
              <w:bottom w:w="100" w:type="dxa"/>
              <w:right w:w="120" w:type="dxa"/>
            </w:tcMar>
          </w:tcPr>
          <w:p w14:paraId="29FAE097" w14:textId="77777777" w:rsidR="00865E2B" w:rsidRDefault="001759CD">
            <w:pPr>
              <w:spacing w:after="60" w:line="260" w:lineRule="auto"/>
            </w:pPr>
            <w:r>
              <w:rPr>
                <w:sz w:val="20"/>
                <w:szCs w:val="20"/>
              </w:rPr>
              <w:t>7 years</w:t>
            </w:r>
          </w:p>
        </w:tc>
        <w:tc>
          <w:tcPr>
            <w:tcW w:w="1740" w:type="pct"/>
            <w:tcMar>
              <w:top w:w="100" w:type="dxa"/>
              <w:left w:w="120" w:type="dxa"/>
              <w:bottom w:w="100" w:type="dxa"/>
              <w:right w:w="120" w:type="dxa"/>
            </w:tcMar>
          </w:tcPr>
          <w:p w14:paraId="1886BE60" w14:textId="77777777" w:rsidR="00865E2B" w:rsidRDefault="001759CD">
            <w:pPr>
              <w:spacing w:after="60" w:line="260" w:lineRule="auto"/>
            </w:pPr>
            <w:r>
              <w:rPr>
                <w:sz w:val="20"/>
                <w:szCs w:val="20"/>
              </w:rPr>
              <w:t xml:space="preserve">From completion of the matter; LPA 2007 (Qld) s 713A; ASCR </w:t>
            </w:r>
            <w:proofErr w:type="spellStart"/>
            <w:r>
              <w:rPr>
                <w:sz w:val="20"/>
                <w:szCs w:val="20"/>
              </w:rPr>
              <w:t>rr</w:t>
            </w:r>
            <w:proofErr w:type="spellEnd"/>
            <w:r>
              <w:rPr>
                <w:sz w:val="20"/>
                <w:szCs w:val="20"/>
              </w:rPr>
              <w:t xml:space="preserve"> 9, 14</w:t>
            </w:r>
          </w:p>
        </w:tc>
      </w:tr>
      <w:tr w:rsidR="00865E2B" w14:paraId="7CF99C53" w14:textId="77777777" w:rsidTr="00FC20A7">
        <w:tc>
          <w:tcPr>
            <w:tcW w:w="1000" w:type="pct"/>
            <w:tcMar>
              <w:top w:w="100" w:type="dxa"/>
              <w:left w:w="120" w:type="dxa"/>
              <w:bottom w:w="100" w:type="dxa"/>
              <w:right w:w="120" w:type="dxa"/>
            </w:tcMar>
          </w:tcPr>
          <w:p w14:paraId="79BA8E1B" w14:textId="77777777" w:rsidR="00865E2B" w:rsidRDefault="001759CD">
            <w:pPr>
              <w:spacing w:after="60" w:line="260" w:lineRule="auto"/>
            </w:pPr>
            <w:r>
              <w:rPr>
                <w:sz w:val="20"/>
                <w:szCs w:val="20"/>
              </w:rPr>
              <w:t>Trust account records</w:t>
            </w:r>
          </w:p>
        </w:tc>
        <w:tc>
          <w:tcPr>
            <w:tcW w:w="1384" w:type="pct"/>
            <w:tcMar>
              <w:top w:w="100" w:type="dxa"/>
              <w:left w:w="120" w:type="dxa"/>
              <w:bottom w:w="100" w:type="dxa"/>
              <w:right w:w="120" w:type="dxa"/>
            </w:tcMar>
          </w:tcPr>
          <w:p w14:paraId="04EAA2A7" w14:textId="77777777" w:rsidR="00865E2B" w:rsidRDefault="001759CD">
            <w:pPr>
              <w:spacing w:after="60" w:line="260" w:lineRule="auto"/>
            </w:pPr>
            <w:r>
              <w:rPr>
                <w:sz w:val="20"/>
                <w:szCs w:val="20"/>
              </w:rPr>
              <w:t>Receipts and payments cash books, trust ledgers, controlled-money records, reconciliation statements, written directions, invoices and authorities for disbursement</w:t>
            </w:r>
          </w:p>
        </w:tc>
        <w:tc>
          <w:tcPr>
            <w:tcW w:w="876" w:type="pct"/>
            <w:tcMar>
              <w:top w:w="100" w:type="dxa"/>
              <w:left w:w="120" w:type="dxa"/>
              <w:bottom w:w="100" w:type="dxa"/>
              <w:right w:w="120" w:type="dxa"/>
            </w:tcMar>
          </w:tcPr>
          <w:p w14:paraId="386E8DB3" w14:textId="77777777" w:rsidR="00865E2B" w:rsidRDefault="001759CD">
            <w:pPr>
              <w:spacing w:after="60" w:line="260" w:lineRule="auto"/>
            </w:pPr>
            <w:r>
              <w:rPr>
                <w:sz w:val="20"/>
                <w:szCs w:val="20"/>
              </w:rPr>
              <w:t>7 years</w:t>
            </w:r>
          </w:p>
        </w:tc>
        <w:tc>
          <w:tcPr>
            <w:tcW w:w="1740" w:type="pct"/>
            <w:tcMar>
              <w:top w:w="100" w:type="dxa"/>
              <w:left w:w="120" w:type="dxa"/>
              <w:bottom w:w="100" w:type="dxa"/>
              <w:right w:w="120" w:type="dxa"/>
            </w:tcMar>
          </w:tcPr>
          <w:p w14:paraId="043EEC3D" w14:textId="77777777" w:rsidR="00865E2B" w:rsidRDefault="001759CD">
            <w:pPr>
              <w:spacing w:after="60" w:line="260" w:lineRule="auto"/>
            </w:pPr>
            <w:r>
              <w:rPr>
                <w:sz w:val="20"/>
                <w:szCs w:val="20"/>
              </w:rPr>
              <w:t xml:space="preserve">LPA 2007 (Qld) Part 3.3; </w:t>
            </w:r>
            <w:r w:rsidRPr="00201EEE">
              <w:rPr>
                <w:i/>
                <w:iCs/>
                <w:sz w:val="20"/>
                <w:szCs w:val="20"/>
              </w:rPr>
              <w:t>Legal Profession Regulation 2017</w:t>
            </w:r>
            <w:r>
              <w:rPr>
                <w:sz w:val="20"/>
                <w:szCs w:val="20"/>
              </w:rPr>
              <w:t xml:space="preserve"> (Qld) ss 36, 49</w:t>
            </w:r>
          </w:p>
        </w:tc>
      </w:tr>
      <w:tr w:rsidR="00865E2B" w14:paraId="698E4875" w14:textId="77777777" w:rsidTr="00FC20A7">
        <w:tc>
          <w:tcPr>
            <w:tcW w:w="1000" w:type="pct"/>
            <w:tcMar>
              <w:top w:w="100" w:type="dxa"/>
              <w:left w:w="120" w:type="dxa"/>
              <w:bottom w:w="100" w:type="dxa"/>
              <w:right w:w="120" w:type="dxa"/>
            </w:tcMar>
          </w:tcPr>
          <w:p w14:paraId="0EEF16E3" w14:textId="77777777" w:rsidR="00865E2B" w:rsidRDefault="001759CD">
            <w:pPr>
              <w:spacing w:after="60" w:line="260" w:lineRule="auto"/>
            </w:pPr>
            <w:r>
              <w:rPr>
                <w:sz w:val="20"/>
                <w:szCs w:val="20"/>
              </w:rPr>
              <w:t>AML/CTF customer due diligence</w:t>
            </w:r>
          </w:p>
        </w:tc>
        <w:tc>
          <w:tcPr>
            <w:tcW w:w="1384" w:type="pct"/>
            <w:tcMar>
              <w:top w:w="100" w:type="dxa"/>
              <w:left w:w="120" w:type="dxa"/>
              <w:bottom w:w="100" w:type="dxa"/>
              <w:right w:w="120" w:type="dxa"/>
            </w:tcMar>
          </w:tcPr>
          <w:p w14:paraId="054DCA53" w14:textId="77777777" w:rsidR="00865E2B" w:rsidRDefault="001759CD">
            <w:pPr>
              <w:spacing w:after="60" w:line="260" w:lineRule="auto"/>
            </w:pPr>
            <w:r>
              <w:rPr>
                <w:sz w:val="20"/>
                <w:szCs w:val="20"/>
              </w:rPr>
              <w:t>Information collected to identify and verify customers and beneficial owners; KYC outcomes; PEP / sanctions screening results; ongoing CDD monitoring records</w:t>
            </w:r>
          </w:p>
        </w:tc>
        <w:tc>
          <w:tcPr>
            <w:tcW w:w="876" w:type="pct"/>
            <w:tcMar>
              <w:top w:w="100" w:type="dxa"/>
              <w:left w:w="120" w:type="dxa"/>
              <w:bottom w:w="100" w:type="dxa"/>
              <w:right w:w="120" w:type="dxa"/>
            </w:tcMar>
          </w:tcPr>
          <w:p w14:paraId="14578D0D" w14:textId="77777777" w:rsidR="00865E2B" w:rsidRDefault="001759CD">
            <w:pPr>
              <w:spacing w:after="60" w:line="260" w:lineRule="auto"/>
            </w:pPr>
            <w:r>
              <w:rPr>
                <w:sz w:val="20"/>
                <w:szCs w:val="20"/>
              </w:rPr>
              <w:t>7 years</w:t>
            </w:r>
          </w:p>
        </w:tc>
        <w:tc>
          <w:tcPr>
            <w:tcW w:w="1740" w:type="pct"/>
            <w:tcMar>
              <w:top w:w="100" w:type="dxa"/>
              <w:left w:w="120" w:type="dxa"/>
              <w:bottom w:w="100" w:type="dxa"/>
              <w:right w:w="120" w:type="dxa"/>
            </w:tcMar>
          </w:tcPr>
          <w:p w14:paraId="7DCAD65A" w14:textId="77777777" w:rsidR="00865E2B" w:rsidRDefault="001759CD">
            <w:pPr>
              <w:spacing w:after="60" w:line="260" w:lineRule="auto"/>
            </w:pPr>
            <w:r>
              <w:rPr>
                <w:sz w:val="20"/>
                <w:szCs w:val="20"/>
              </w:rPr>
              <w:t>AML/CTF Act 2006 (</w:t>
            </w:r>
            <w:proofErr w:type="spellStart"/>
            <w:r>
              <w:rPr>
                <w:sz w:val="20"/>
                <w:szCs w:val="20"/>
              </w:rPr>
              <w:t>Cth</w:t>
            </w:r>
            <w:proofErr w:type="spellEnd"/>
            <w:r>
              <w:rPr>
                <w:sz w:val="20"/>
                <w:szCs w:val="20"/>
              </w:rPr>
              <w:t xml:space="preserve">) s 111 — from </w:t>
            </w:r>
            <w:r w:rsidRPr="00870991">
              <w:rPr>
                <w:sz w:val="20"/>
                <w:szCs w:val="20"/>
                <w:highlight w:val="yellow"/>
              </w:rPr>
              <w:t>end of business relationship</w:t>
            </w:r>
            <w:r>
              <w:rPr>
                <w:sz w:val="20"/>
                <w:szCs w:val="20"/>
              </w:rPr>
              <w:t xml:space="preserve"> or transaction</w:t>
            </w:r>
          </w:p>
        </w:tc>
      </w:tr>
      <w:tr w:rsidR="00865E2B" w14:paraId="27EAB200" w14:textId="77777777" w:rsidTr="00FC20A7">
        <w:tc>
          <w:tcPr>
            <w:tcW w:w="1000" w:type="pct"/>
            <w:tcMar>
              <w:top w:w="100" w:type="dxa"/>
              <w:left w:w="120" w:type="dxa"/>
              <w:bottom w:w="100" w:type="dxa"/>
              <w:right w:w="120" w:type="dxa"/>
            </w:tcMar>
          </w:tcPr>
          <w:p w14:paraId="127EA3D2" w14:textId="77777777" w:rsidR="00865E2B" w:rsidRDefault="001759CD">
            <w:pPr>
              <w:spacing w:after="60" w:line="260" w:lineRule="auto"/>
            </w:pPr>
            <w:r>
              <w:rPr>
                <w:sz w:val="20"/>
                <w:szCs w:val="20"/>
              </w:rPr>
              <w:t>AML/CTF transaction records</w:t>
            </w:r>
          </w:p>
        </w:tc>
        <w:tc>
          <w:tcPr>
            <w:tcW w:w="1384" w:type="pct"/>
            <w:tcMar>
              <w:top w:w="100" w:type="dxa"/>
              <w:left w:w="120" w:type="dxa"/>
              <w:bottom w:w="100" w:type="dxa"/>
              <w:right w:w="120" w:type="dxa"/>
            </w:tcMar>
          </w:tcPr>
          <w:p w14:paraId="1F5F77AC" w14:textId="77777777" w:rsidR="00865E2B" w:rsidRDefault="001759CD">
            <w:pPr>
              <w:spacing w:after="60" w:line="260" w:lineRule="auto"/>
            </w:pPr>
            <w:r>
              <w:rPr>
                <w:sz w:val="20"/>
                <w:szCs w:val="20"/>
              </w:rPr>
              <w:t>Records of designated services; threshold transaction reports (TTRs); international funds transfer instructions; suspicious matter reports (SMRs)</w:t>
            </w:r>
          </w:p>
        </w:tc>
        <w:tc>
          <w:tcPr>
            <w:tcW w:w="876" w:type="pct"/>
            <w:tcMar>
              <w:top w:w="100" w:type="dxa"/>
              <w:left w:w="120" w:type="dxa"/>
              <w:bottom w:w="100" w:type="dxa"/>
              <w:right w:w="120" w:type="dxa"/>
            </w:tcMar>
          </w:tcPr>
          <w:p w14:paraId="2C7EC6CB" w14:textId="77777777" w:rsidR="00865E2B" w:rsidRDefault="001759CD">
            <w:pPr>
              <w:spacing w:after="60" w:line="260" w:lineRule="auto"/>
            </w:pPr>
            <w:r>
              <w:rPr>
                <w:sz w:val="20"/>
                <w:szCs w:val="20"/>
              </w:rPr>
              <w:t>7 years</w:t>
            </w:r>
          </w:p>
        </w:tc>
        <w:tc>
          <w:tcPr>
            <w:tcW w:w="1740" w:type="pct"/>
            <w:tcMar>
              <w:top w:w="100" w:type="dxa"/>
              <w:left w:w="120" w:type="dxa"/>
              <w:bottom w:w="100" w:type="dxa"/>
              <w:right w:w="120" w:type="dxa"/>
            </w:tcMar>
          </w:tcPr>
          <w:p w14:paraId="169D3443" w14:textId="77777777" w:rsidR="00865E2B" w:rsidRDefault="001759CD">
            <w:pPr>
              <w:spacing w:after="60" w:line="260" w:lineRule="auto"/>
            </w:pPr>
            <w:r>
              <w:rPr>
                <w:sz w:val="20"/>
                <w:szCs w:val="20"/>
              </w:rPr>
              <w:t>AML/CTF Act 2006 (</w:t>
            </w:r>
            <w:proofErr w:type="spellStart"/>
            <w:r>
              <w:rPr>
                <w:sz w:val="20"/>
                <w:szCs w:val="20"/>
              </w:rPr>
              <w:t>Cth</w:t>
            </w:r>
            <w:proofErr w:type="spellEnd"/>
            <w:r>
              <w:rPr>
                <w:sz w:val="20"/>
                <w:szCs w:val="20"/>
              </w:rPr>
              <w:t>) s 107</w:t>
            </w:r>
          </w:p>
        </w:tc>
      </w:tr>
      <w:tr w:rsidR="00865E2B" w14:paraId="32061D2D" w14:textId="77777777" w:rsidTr="00FC20A7">
        <w:tc>
          <w:tcPr>
            <w:tcW w:w="1000" w:type="pct"/>
            <w:tcMar>
              <w:top w:w="100" w:type="dxa"/>
              <w:left w:w="120" w:type="dxa"/>
              <w:bottom w:w="100" w:type="dxa"/>
              <w:right w:w="120" w:type="dxa"/>
            </w:tcMar>
          </w:tcPr>
          <w:p w14:paraId="71BB84A9" w14:textId="77777777" w:rsidR="00865E2B" w:rsidRDefault="001759CD">
            <w:pPr>
              <w:spacing w:after="60" w:line="260" w:lineRule="auto"/>
            </w:pPr>
            <w:r>
              <w:rPr>
                <w:sz w:val="20"/>
                <w:szCs w:val="20"/>
              </w:rPr>
              <w:t>AML/CTF reliance and assessment records</w:t>
            </w:r>
          </w:p>
        </w:tc>
        <w:tc>
          <w:tcPr>
            <w:tcW w:w="1384" w:type="pct"/>
            <w:tcMar>
              <w:top w:w="100" w:type="dxa"/>
              <w:left w:w="120" w:type="dxa"/>
              <w:bottom w:w="100" w:type="dxa"/>
              <w:right w:w="120" w:type="dxa"/>
            </w:tcMar>
          </w:tcPr>
          <w:p w14:paraId="41DD3F5B" w14:textId="77777777" w:rsidR="00865E2B" w:rsidRDefault="001759CD">
            <w:pPr>
              <w:spacing w:after="60" w:line="260" w:lineRule="auto"/>
            </w:pPr>
            <w:r>
              <w:rPr>
                <w:sz w:val="20"/>
                <w:szCs w:val="20"/>
              </w:rPr>
              <w:t>Records received from another reporting entity under a reliance arrangement; reliance assessments and reasoning</w:t>
            </w:r>
          </w:p>
        </w:tc>
        <w:tc>
          <w:tcPr>
            <w:tcW w:w="876" w:type="pct"/>
            <w:tcMar>
              <w:top w:w="100" w:type="dxa"/>
              <w:left w:w="120" w:type="dxa"/>
              <w:bottom w:w="100" w:type="dxa"/>
              <w:right w:w="120" w:type="dxa"/>
            </w:tcMar>
          </w:tcPr>
          <w:p w14:paraId="5FD4588E" w14:textId="77777777" w:rsidR="00865E2B" w:rsidRDefault="001759CD">
            <w:pPr>
              <w:spacing w:after="60" w:line="260" w:lineRule="auto"/>
            </w:pPr>
            <w:r>
              <w:rPr>
                <w:sz w:val="20"/>
                <w:szCs w:val="20"/>
              </w:rPr>
              <w:t>7 years</w:t>
            </w:r>
          </w:p>
        </w:tc>
        <w:tc>
          <w:tcPr>
            <w:tcW w:w="1740" w:type="pct"/>
            <w:tcMar>
              <w:top w:w="100" w:type="dxa"/>
              <w:left w:w="120" w:type="dxa"/>
              <w:bottom w:w="100" w:type="dxa"/>
              <w:right w:w="120" w:type="dxa"/>
            </w:tcMar>
          </w:tcPr>
          <w:p w14:paraId="705618E6" w14:textId="77777777" w:rsidR="00865E2B" w:rsidRDefault="001759CD">
            <w:pPr>
              <w:spacing w:after="60" w:line="260" w:lineRule="auto"/>
            </w:pPr>
            <w:r>
              <w:rPr>
                <w:sz w:val="20"/>
                <w:szCs w:val="20"/>
              </w:rPr>
              <w:t>AML/CTF Act 2006 (</w:t>
            </w:r>
            <w:proofErr w:type="spellStart"/>
            <w:r>
              <w:rPr>
                <w:sz w:val="20"/>
                <w:szCs w:val="20"/>
              </w:rPr>
              <w:t>Cth</w:t>
            </w:r>
            <w:proofErr w:type="spellEnd"/>
            <w:r>
              <w:rPr>
                <w:sz w:val="20"/>
                <w:szCs w:val="20"/>
              </w:rPr>
              <w:t>) ss 114, 114A</w:t>
            </w:r>
          </w:p>
        </w:tc>
      </w:tr>
      <w:tr w:rsidR="00865E2B" w14:paraId="5394AA2D" w14:textId="77777777" w:rsidTr="00FC20A7">
        <w:tc>
          <w:tcPr>
            <w:tcW w:w="1000" w:type="pct"/>
            <w:tcMar>
              <w:top w:w="100" w:type="dxa"/>
              <w:left w:w="120" w:type="dxa"/>
              <w:bottom w:w="100" w:type="dxa"/>
              <w:right w:w="120" w:type="dxa"/>
            </w:tcMar>
          </w:tcPr>
          <w:p w14:paraId="2F9A174C" w14:textId="77777777" w:rsidR="00865E2B" w:rsidRDefault="001759CD">
            <w:pPr>
              <w:spacing w:after="60" w:line="260" w:lineRule="auto"/>
            </w:pPr>
            <w:r>
              <w:rPr>
                <w:sz w:val="20"/>
                <w:szCs w:val="20"/>
              </w:rPr>
              <w:t>AML/CTF program, risk assessments, training</w:t>
            </w:r>
          </w:p>
        </w:tc>
        <w:tc>
          <w:tcPr>
            <w:tcW w:w="1384" w:type="pct"/>
            <w:tcMar>
              <w:top w:w="100" w:type="dxa"/>
              <w:left w:w="120" w:type="dxa"/>
              <w:bottom w:w="100" w:type="dxa"/>
              <w:right w:w="120" w:type="dxa"/>
            </w:tcMar>
          </w:tcPr>
          <w:p w14:paraId="457C912E" w14:textId="77777777" w:rsidR="00865E2B" w:rsidRDefault="001759CD">
            <w:pPr>
              <w:spacing w:after="60" w:line="260" w:lineRule="auto"/>
            </w:pPr>
            <w:r>
              <w:rPr>
                <w:sz w:val="20"/>
                <w:szCs w:val="20"/>
              </w:rPr>
              <w:t>Written AML/CTF program; ML/TF risk assessments; staff training records; independent reviews; appointment of AMLCO</w:t>
            </w:r>
          </w:p>
        </w:tc>
        <w:tc>
          <w:tcPr>
            <w:tcW w:w="876" w:type="pct"/>
            <w:tcMar>
              <w:top w:w="100" w:type="dxa"/>
              <w:left w:w="120" w:type="dxa"/>
              <w:bottom w:w="100" w:type="dxa"/>
              <w:right w:w="120" w:type="dxa"/>
            </w:tcMar>
          </w:tcPr>
          <w:p w14:paraId="56DA71FE" w14:textId="77777777" w:rsidR="00865E2B" w:rsidRDefault="001759CD">
            <w:pPr>
              <w:spacing w:after="60" w:line="260" w:lineRule="auto"/>
            </w:pPr>
            <w:r>
              <w:rPr>
                <w:sz w:val="20"/>
                <w:szCs w:val="20"/>
              </w:rPr>
              <w:t>7 years</w:t>
            </w:r>
          </w:p>
        </w:tc>
        <w:tc>
          <w:tcPr>
            <w:tcW w:w="1740" w:type="pct"/>
            <w:tcMar>
              <w:top w:w="100" w:type="dxa"/>
              <w:left w:w="120" w:type="dxa"/>
              <w:bottom w:w="100" w:type="dxa"/>
              <w:right w:w="120" w:type="dxa"/>
            </w:tcMar>
          </w:tcPr>
          <w:p w14:paraId="155406C7" w14:textId="77777777" w:rsidR="00865E2B" w:rsidRDefault="001759CD">
            <w:pPr>
              <w:spacing w:after="60" w:line="260" w:lineRule="auto"/>
            </w:pPr>
            <w:r>
              <w:rPr>
                <w:sz w:val="20"/>
                <w:szCs w:val="20"/>
              </w:rPr>
              <w:t>AML/CTF Act 2006 (</w:t>
            </w:r>
            <w:proofErr w:type="spellStart"/>
            <w:r>
              <w:rPr>
                <w:sz w:val="20"/>
                <w:szCs w:val="20"/>
              </w:rPr>
              <w:t>Cth</w:t>
            </w:r>
            <w:proofErr w:type="spellEnd"/>
            <w:r>
              <w:rPr>
                <w:sz w:val="20"/>
                <w:szCs w:val="20"/>
              </w:rPr>
              <w:t>); AML/CTF Rules</w:t>
            </w:r>
          </w:p>
        </w:tc>
      </w:tr>
      <w:tr w:rsidR="00865E2B" w14:paraId="73CF9A5B" w14:textId="77777777" w:rsidTr="00FC20A7">
        <w:tc>
          <w:tcPr>
            <w:tcW w:w="1000" w:type="pct"/>
            <w:tcMar>
              <w:top w:w="100" w:type="dxa"/>
              <w:left w:w="120" w:type="dxa"/>
              <w:bottom w:w="100" w:type="dxa"/>
              <w:right w:w="120" w:type="dxa"/>
            </w:tcMar>
          </w:tcPr>
          <w:p w14:paraId="09516ECC" w14:textId="77777777" w:rsidR="00865E2B" w:rsidRDefault="001759CD">
            <w:pPr>
              <w:spacing w:after="60" w:line="260" w:lineRule="auto"/>
            </w:pPr>
            <w:r>
              <w:rPr>
                <w:sz w:val="20"/>
                <w:szCs w:val="20"/>
              </w:rPr>
              <w:lastRenderedPageBreak/>
              <w:t>Copies of full identification documents</w:t>
            </w:r>
          </w:p>
        </w:tc>
        <w:tc>
          <w:tcPr>
            <w:tcW w:w="1384" w:type="pct"/>
            <w:tcMar>
              <w:top w:w="100" w:type="dxa"/>
              <w:left w:w="120" w:type="dxa"/>
              <w:bottom w:w="100" w:type="dxa"/>
              <w:right w:w="120" w:type="dxa"/>
            </w:tcMar>
          </w:tcPr>
          <w:p w14:paraId="1414318C" w14:textId="77777777" w:rsidR="00865E2B" w:rsidRDefault="001759CD">
            <w:pPr>
              <w:spacing w:after="60" w:line="260" w:lineRule="auto"/>
            </w:pPr>
            <w:r>
              <w:rPr>
                <w:sz w:val="20"/>
                <w:szCs w:val="20"/>
              </w:rPr>
              <w:t>Scans / photocopies of passports, drivers’ licences, Medicare cards</w:t>
            </w:r>
          </w:p>
        </w:tc>
        <w:tc>
          <w:tcPr>
            <w:tcW w:w="876" w:type="pct"/>
            <w:tcMar>
              <w:top w:w="100" w:type="dxa"/>
              <w:left w:w="120" w:type="dxa"/>
              <w:bottom w:w="100" w:type="dxa"/>
              <w:right w:w="120" w:type="dxa"/>
            </w:tcMar>
          </w:tcPr>
          <w:p w14:paraId="65BD8C7E" w14:textId="37F76977" w:rsidR="00865E2B" w:rsidRDefault="00865E2B">
            <w:pPr>
              <w:spacing w:after="60" w:line="260" w:lineRule="auto"/>
            </w:pPr>
          </w:p>
        </w:tc>
        <w:tc>
          <w:tcPr>
            <w:tcW w:w="1740" w:type="pct"/>
            <w:tcMar>
              <w:top w:w="100" w:type="dxa"/>
              <w:left w:w="120" w:type="dxa"/>
              <w:bottom w:w="100" w:type="dxa"/>
              <w:right w:w="120" w:type="dxa"/>
            </w:tcMar>
          </w:tcPr>
          <w:p w14:paraId="1F7A6F83" w14:textId="3714C0F1" w:rsidR="009B32F5" w:rsidRPr="009B32F5" w:rsidRDefault="009B32F5">
            <w:pPr>
              <w:spacing w:after="60" w:line="260" w:lineRule="auto"/>
              <w:rPr>
                <w:b/>
                <w:bCs/>
                <w:color w:val="FF0000"/>
                <w:sz w:val="20"/>
                <w:szCs w:val="20"/>
              </w:rPr>
            </w:pPr>
            <w:r w:rsidRPr="009B32F5">
              <w:rPr>
                <w:b/>
                <w:bCs/>
                <w:color w:val="FF0000"/>
                <w:sz w:val="20"/>
                <w:szCs w:val="20"/>
              </w:rPr>
              <w:t>Keeping copies of Identification Documents.</w:t>
            </w:r>
          </w:p>
          <w:p w14:paraId="6FE4F706" w14:textId="11CA1682" w:rsidR="00865E2B" w:rsidRPr="009B32F5" w:rsidRDefault="001759CD" w:rsidP="009B32F5">
            <w:pPr>
              <w:pStyle w:val="ListParagraph"/>
              <w:numPr>
                <w:ilvl w:val="0"/>
                <w:numId w:val="2"/>
              </w:numPr>
              <w:spacing w:after="60" w:line="260" w:lineRule="auto"/>
              <w:rPr>
                <w:sz w:val="20"/>
                <w:szCs w:val="20"/>
              </w:rPr>
            </w:pPr>
            <w:r w:rsidRPr="009B32F5">
              <w:rPr>
                <w:sz w:val="20"/>
                <w:szCs w:val="20"/>
              </w:rPr>
              <w:t xml:space="preserve">OAIC AML/CTF Privacy Guidance; </w:t>
            </w:r>
            <w:r w:rsidRPr="00201EEE">
              <w:rPr>
                <w:i/>
                <w:iCs/>
                <w:sz w:val="20"/>
                <w:szCs w:val="20"/>
              </w:rPr>
              <w:t>Privacy Act 1988</w:t>
            </w:r>
            <w:r w:rsidRPr="009B32F5">
              <w:rPr>
                <w:sz w:val="20"/>
                <w:szCs w:val="20"/>
              </w:rPr>
              <w:t xml:space="preserve"> (</w:t>
            </w:r>
            <w:proofErr w:type="spellStart"/>
            <w:r w:rsidRPr="009B32F5">
              <w:rPr>
                <w:sz w:val="20"/>
                <w:szCs w:val="20"/>
              </w:rPr>
              <w:t>Cth</w:t>
            </w:r>
            <w:proofErr w:type="spellEnd"/>
            <w:r w:rsidRPr="009B32F5">
              <w:rPr>
                <w:sz w:val="20"/>
                <w:szCs w:val="20"/>
              </w:rPr>
              <w:t>) APP 3, APP 11</w:t>
            </w:r>
          </w:p>
          <w:p w14:paraId="7511F64A" w14:textId="77777777" w:rsidR="00870991" w:rsidRPr="009B32F5" w:rsidRDefault="00870991" w:rsidP="009B32F5">
            <w:pPr>
              <w:pStyle w:val="ListParagraph"/>
              <w:numPr>
                <w:ilvl w:val="0"/>
                <w:numId w:val="2"/>
              </w:numPr>
              <w:spacing w:after="60" w:line="260" w:lineRule="auto"/>
              <w:rPr>
                <w:sz w:val="20"/>
                <w:szCs w:val="20"/>
              </w:rPr>
            </w:pPr>
            <w:r w:rsidRPr="009B32F5">
              <w:rPr>
                <w:sz w:val="20"/>
                <w:szCs w:val="20"/>
              </w:rPr>
              <w:t xml:space="preserve">Do not collect or retain from 31 March 2026 (and 1 July 2026 for tranche 2 entities) </w:t>
            </w:r>
            <w:r w:rsidRPr="009B32F5">
              <w:rPr>
                <w:sz w:val="20"/>
                <w:szCs w:val="20"/>
                <w:highlight w:val="yellow"/>
              </w:rPr>
              <w:t>unless required by another law</w:t>
            </w:r>
            <w:r w:rsidRPr="009B32F5">
              <w:rPr>
                <w:sz w:val="20"/>
                <w:szCs w:val="20"/>
              </w:rPr>
              <w:t>; existing copies retained pre-31 March 2026 may be held under prior allowances</w:t>
            </w:r>
          </w:p>
          <w:p w14:paraId="2E62ADD3" w14:textId="77777777" w:rsidR="00870991" w:rsidRPr="009B32F5" w:rsidRDefault="00870991" w:rsidP="009B32F5">
            <w:pPr>
              <w:pStyle w:val="ListParagraph"/>
              <w:numPr>
                <w:ilvl w:val="0"/>
                <w:numId w:val="2"/>
              </w:numPr>
              <w:spacing w:after="60" w:line="260" w:lineRule="auto"/>
              <w:rPr>
                <w:sz w:val="20"/>
                <w:szCs w:val="20"/>
              </w:rPr>
            </w:pPr>
            <w:r w:rsidRPr="009B32F5">
              <w:rPr>
                <w:sz w:val="20"/>
                <w:szCs w:val="20"/>
              </w:rPr>
              <w:t xml:space="preserve">See Land Title Practice Manual [61-2330] express requirement to sight original documents then </w:t>
            </w:r>
            <w:r w:rsidRPr="009B32F5">
              <w:rPr>
                <w:sz w:val="20"/>
                <w:szCs w:val="20"/>
                <w:u w:val="single"/>
              </w:rPr>
              <w:t>to retain a copy</w:t>
            </w:r>
            <w:r w:rsidRPr="009B32F5">
              <w:rPr>
                <w:sz w:val="20"/>
                <w:szCs w:val="20"/>
              </w:rPr>
              <w:t xml:space="preserve"> when witnessing land instruments.</w:t>
            </w:r>
          </w:p>
          <w:p w14:paraId="0CBC28D5" w14:textId="1F575C27" w:rsidR="00225275" w:rsidRPr="009B32F5" w:rsidRDefault="00225275" w:rsidP="009B32F5">
            <w:pPr>
              <w:pStyle w:val="ListParagraph"/>
              <w:numPr>
                <w:ilvl w:val="0"/>
                <w:numId w:val="2"/>
              </w:numPr>
              <w:spacing w:after="60" w:line="260" w:lineRule="auto"/>
              <w:rPr>
                <w:sz w:val="20"/>
                <w:szCs w:val="20"/>
              </w:rPr>
            </w:pPr>
            <w:proofErr w:type="gramStart"/>
            <w:r w:rsidRPr="009B32F5">
              <w:rPr>
                <w:sz w:val="20"/>
                <w:szCs w:val="20"/>
              </w:rPr>
              <w:t>Similarly</w:t>
            </w:r>
            <w:proofErr w:type="gramEnd"/>
            <w:r w:rsidRPr="009B32F5">
              <w:rPr>
                <w:sz w:val="20"/>
                <w:szCs w:val="20"/>
              </w:rPr>
              <w:t xml:space="preserve"> ARNECC VOI guidance (less </w:t>
            </w:r>
            <w:r w:rsidR="009B32F5">
              <w:rPr>
                <w:sz w:val="20"/>
                <w:szCs w:val="20"/>
              </w:rPr>
              <w:t>clear) requires copy to be kept, not just recording particulars.</w:t>
            </w:r>
          </w:p>
          <w:p w14:paraId="33C3A64D" w14:textId="3BD8BB51" w:rsidR="00870991" w:rsidRDefault="00870991">
            <w:pPr>
              <w:spacing w:after="60" w:line="260" w:lineRule="auto"/>
            </w:pPr>
          </w:p>
        </w:tc>
      </w:tr>
      <w:tr w:rsidR="00865E2B" w14:paraId="5BC77A36" w14:textId="77777777" w:rsidTr="00FC20A7">
        <w:tc>
          <w:tcPr>
            <w:tcW w:w="1000" w:type="pct"/>
            <w:tcMar>
              <w:top w:w="100" w:type="dxa"/>
              <w:left w:w="120" w:type="dxa"/>
              <w:bottom w:w="100" w:type="dxa"/>
              <w:right w:w="120" w:type="dxa"/>
            </w:tcMar>
          </w:tcPr>
          <w:p w14:paraId="2F0A0B94" w14:textId="77777777" w:rsidR="00865E2B" w:rsidRDefault="001759CD">
            <w:pPr>
              <w:spacing w:after="60" w:line="260" w:lineRule="auto"/>
            </w:pPr>
            <w:r>
              <w:rPr>
                <w:sz w:val="20"/>
                <w:szCs w:val="20"/>
              </w:rPr>
              <w:t>Employee records</w:t>
            </w:r>
          </w:p>
        </w:tc>
        <w:tc>
          <w:tcPr>
            <w:tcW w:w="1384" w:type="pct"/>
            <w:tcMar>
              <w:top w:w="100" w:type="dxa"/>
              <w:left w:w="120" w:type="dxa"/>
              <w:bottom w:w="100" w:type="dxa"/>
              <w:right w:w="120" w:type="dxa"/>
            </w:tcMar>
          </w:tcPr>
          <w:p w14:paraId="2F6AEB1B" w14:textId="77777777" w:rsidR="00865E2B" w:rsidRDefault="001759CD">
            <w:pPr>
              <w:spacing w:after="60" w:line="260" w:lineRule="auto"/>
            </w:pPr>
            <w:r>
              <w:rPr>
                <w:sz w:val="20"/>
                <w:szCs w:val="20"/>
              </w:rPr>
              <w:t>Pay, hours, leave, superannuation, employment contracts, terminations, training</w:t>
            </w:r>
          </w:p>
        </w:tc>
        <w:tc>
          <w:tcPr>
            <w:tcW w:w="876" w:type="pct"/>
            <w:tcMar>
              <w:top w:w="100" w:type="dxa"/>
              <w:left w:w="120" w:type="dxa"/>
              <w:bottom w:w="100" w:type="dxa"/>
              <w:right w:w="120" w:type="dxa"/>
            </w:tcMar>
          </w:tcPr>
          <w:p w14:paraId="33CA4972" w14:textId="77777777" w:rsidR="00865E2B" w:rsidRDefault="001759CD">
            <w:pPr>
              <w:spacing w:after="60" w:line="260" w:lineRule="auto"/>
            </w:pPr>
            <w:r>
              <w:rPr>
                <w:sz w:val="20"/>
                <w:szCs w:val="20"/>
              </w:rPr>
              <w:t>7 years</w:t>
            </w:r>
          </w:p>
        </w:tc>
        <w:tc>
          <w:tcPr>
            <w:tcW w:w="1740" w:type="pct"/>
            <w:tcMar>
              <w:top w:w="100" w:type="dxa"/>
              <w:left w:w="120" w:type="dxa"/>
              <w:bottom w:w="100" w:type="dxa"/>
              <w:right w:w="120" w:type="dxa"/>
            </w:tcMar>
          </w:tcPr>
          <w:p w14:paraId="72705DB2" w14:textId="77777777" w:rsidR="00865E2B" w:rsidRDefault="001759CD">
            <w:pPr>
              <w:spacing w:after="60" w:line="260" w:lineRule="auto"/>
            </w:pPr>
            <w:r w:rsidRPr="00201EEE">
              <w:rPr>
                <w:i/>
                <w:iCs/>
                <w:sz w:val="20"/>
                <w:szCs w:val="20"/>
              </w:rPr>
              <w:t>Fair Work Act 2009</w:t>
            </w:r>
            <w:r>
              <w:rPr>
                <w:sz w:val="20"/>
                <w:szCs w:val="20"/>
              </w:rPr>
              <w:t xml:space="preserve"> (</w:t>
            </w:r>
            <w:proofErr w:type="spellStart"/>
            <w:r>
              <w:rPr>
                <w:sz w:val="20"/>
                <w:szCs w:val="20"/>
              </w:rPr>
              <w:t>Cth</w:t>
            </w:r>
            <w:proofErr w:type="spellEnd"/>
            <w:r>
              <w:rPr>
                <w:sz w:val="20"/>
                <w:szCs w:val="20"/>
              </w:rPr>
              <w:t xml:space="preserve">) ss 535–536; </w:t>
            </w:r>
            <w:r w:rsidRPr="00201EEE">
              <w:rPr>
                <w:i/>
                <w:iCs/>
                <w:sz w:val="20"/>
                <w:szCs w:val="20"/>
              </w:rPr>
              <w:t>Fair Work Regulations 2009</w:t>
            </w:r>
            <w:r>
              <w:rPr>
                <w:sz w:val="20"/>
                <w:szCs w:val="20"/>
              </w:rPr>
              <w:t xml:space="preserve"> (</w:t>
            </w:r>
            <w:proofErr w:type="spellStart"/>
            <w:r>
              <w:rPr>
                <w:sz w:val="20"/>
                <w:szCs w:val="20"/>
              </w:rPr>
              <w:t>Cth</w:t>
            </w:r>
            <w:proofErr w:type="spellEnd"/>
            <w:r>
              <w:rPr>
                <w:sz w:val="20"/>
                <w:szCs w:val="20"/>
              </w:rPr>
              <w:t>)</w:t>
            </w:r>
          </w:p>
        </w:tc>
      </w:tr>
      <w:tr w:rsidR="00865E2B" w14:paraId="38431B79" w14:textId="77777777" w:rsidTr="00FC20A7">
        <w:tc>
          <w:tcPr>
            <w:tcW w:w="1000" w:type="pct"/>
            <w:tcMar>
              <w:top w:w="100" w:type="dxa"/>
              <w:left w:w="120" w:type="dxa"/>
              <w:bottom w:w="100" w:type="dxa"/>
              <w:right w:w="120" w:type="dxa"/>
            </w:tcMar>
          </w:tcPr>
          <w:p w14:paraId="0EA84FE6" w14:textId="77777777" w:rsidR="00865E2B" w:rsidRDefault="001759CD">
            <w:pPr>
              <w:spacing w:after="60" w:line="260" w:lineRule="auto"/>
            </w:pPr>
            <w:r>
              <w:rPr>
                <w:sz w:val="20"/>
                <w:szCs w:val="20"/>
              </w:rPr>
              <w:t>Financial records (incorporated practice)</w:t>
            </w:r>
          </w:p>
        </w:tc>
        <w:tc>
          <w:tcPr>
            <w:tcW w:w="1384" w:type="pct"/>
            <w:tcMar>
              <w:top w:w="100" w:type="dxa"/>
              <w:left w:w="120" w:type="dxa"/>
              <w:bottom w:w="100" w:type="dxa"/>
              <w:right w:w="120" w:type="dxa"/>
            </w:tcMar>
          </w:tcPr>
          <w:p w14:paraId="6A0DDBB5" w14:textId="77777777" w:rsidR="00865E2B" w:rsidRDefault="001759CD">
            <w:pPr>
              <w:spacing w:after="60" w:line="260" w:lineRule="auto"/>
            </w:pPr>
            <w:r>
              <w:rPr>
                <w:sz w:val="20"/>
                <w:szCs w:val="20"/>
              </w:rPr>
              <w:t>General ledger, invoices, receipts, working papers, financial statements</w:t>
            </w:r>
          </w:p>
        </w:tc>
        <w:tc>
          <w:tcPr>
            <w:tcW w:w="876" w:type="pct"/>
            <w:tcMar>
              <w:top w:w="100" w:type="dxa"/>
              <w:left w:w="120" w:type="dxa"/>
              <w:bottom w:w="100" w:type="dxa"/>
              <w:right w:w="120" w:type="dxa"/>
            </w:tcMar>
          </w:tcPr>
          <w:p w14:paraId="30B28E97" w14:textId="77777777" w:rsidR="00865E2B" w:rsidRDefault="001759CD">
            <w:pPr>
              <w:spacing w:after="60" w:line="260" w:lineRule="auto"/>
            </w:pPr>
            <w:r>
              <w:rPr>
                <w:sz w:val="20"/>
                <w:szCs w:val="20"/>
              </w:rPr>
              <w:t>7 years</w:t>
            </w:r>
          </w:p>
        </w:tc>
        <w:tc>
          <w:tcPr>
            <w:tcW w:w="1740" w:type="pct"/>
            <w:tcMar>
              <w:top w:w="100" w:type="dxa"/>
              <w:left w:w="120" w:type="dxa"/>
              <w:bottom w:w="100" w:type="dxa"/>
              <w:right w:w="120" w:type="dxa"/>
            </w:tcMar>
          </w:tcPr>
          <w:p w14:paraId="4D14F68B" w14:textId="77777777" w:rsidR="00865E2B" w:rsidRDefault="001759CD">
            <w:pPr>
              <w:spacing w:after="60" w:line="260" w:lineRule="auto"/>
            </w:pPr>
            <w:r w:rsidRPr="00201EEE">
              <w:rPr>
                <w:i/>
                <w:iCs/>
                <w:sz w:val="20"/>
                <w:szCs w:val="20"/>
              </w:rPr>
              <w:t>Corporations Act 2001</w:t>
            </w:r>
            <w:r>
              <w:rPr>
                <w:sz w:val="20"/>
                <w:szCs w:val="20"/>
              </w:rPr>
              <w:t xml:space="preserve"> (</w:t>
            </w:r>
            <w:proofErr w:type="spellStart"/>
            <w:r>
              <w:rPr>
                <w:sz w:val="20"/>
                <w:szCs w:val="20"/>
              </w:rPr>
              <w:t>Cth</w:t>
            </w:r>
            <w:proofErr w:type="spellEnd"/>
            <w:r>
              <w:rPr>
                <w:sz w:val="20"/>
                <w:szCs w:val="20"/>
              </w:rPr>
              <w:t>) s 286</w:t>
            </w:r>
          </w:p>
        </w:tc>
      </w:tr>
      <w:tr w:rsidR="00865E2B" w14:paraId="0B5A1FF1" w14:textId="77777777" w:rsidTr="00FC20A7">
        <w:tc>
          <w:tcPr>
            <w:tcW w:w="1000" w:type="pct"/>
            <w:tcMar>
              <w:top w:w="100" w:type="dxa"/>
              <w:left w:w="120" w:type="dxa"/>
              <w:bottom w:w="100" w:type="dxa"/>
              <w:right w:w="120" w:type="dxa"/>
            </w:tcMar>
          </w:tcPr>
          <w:p w14:paraId="0181B6CB" w14:textId="77777777" w:rsidR="00865E2B" w:rsidRDefault="001759CD">
            <w:pPr>
              <w:spacing w:after="60" w:line="260" w:lineRule="auto"/>
            </w:pPr>
            <w:r>
              <w:rPr>
                <w:sz w:val="20"/>
                <w:szCs w:val="20"/>
              </w:rPr>
              <w:t>Tax records</w:t>
            </w:r>
          </w:p>
        </w:tc>
        <w:tc>
          <w:tcPr>
            <w:tcW w:w="1384" w:type="pct"/>
            <w:tcMar>
              <w:top w:w="100" w:type="dxa"/>
              <w:left w:w="120" w:type="dxa"/>
              <w:bottom w:w="100" w:type="dxa"/>
              <w:right w:w="120" w:type="dxa"/>
            </w:tcMar>
          </w:tcPr>
          <w:p w14:paraId="684E484F" w14:textId="77777777" w:rsidR="00865E2B" w:rsidRDefault="001759CD">
            <w:pPr>
              <w:spacing w:after="60" w:line="260" w:lineRule="auto"/>
            </w:pPr>
            <w:r>
              <w:rPr>
                <w:sz w:val="20"/>
                <w:szCs w:val="20"/>
              </w:rPr>
              <w:t>BAS, income tax records, FBT records, GST records, supporting documents</w:t>
            </w:r>
          </w:p>
        </w:tc>
        <w:tc>
          <w:tcPr>
            <w:tcW w:w="876" w:type="pct"/>
            <w:tcMar>
              <w:top w:w="100" w:type="dxa"/>
              <w:left w:w="120" w:type="dxa"/>
              <w:bottom w:w="100" w:type="dxa"/>
              <w:right w:w="120" w:type="dxa"/>
            </w:tcMar>
          </w:tcPr>
          <w:p w14:paraId="1E38F23E" w14:textId="77777777" w:rsidR="00865E2B" w:rsidRDefault="001759CD">
            <w:pPr>
              <w:spacing w:after="60" w:line="260" w:lineRule="auto"/>
            </w:pPr>
            <w:r>
              <w:rPr>
                <w:sz w:val="20"/>
                <w:szCs w:val="20"/>
              </w:rPr>
              <w:t>5 years</w:t>
            </w:r>
          </w:p>
        </w:tc>
        <w:tc>
          <w:tcPr>
            <w:tcW w:w="1740" w:type="pct"/>
            <w:tcMar>
              <w:top w:w="100" w:type="dxa"/>
              <w:left w:w="120" w:type="dxa"/>
              <w:bottom w:w="100" w:type="dxa"/>
              <w:right w:w="120" w:type="dxa"/>
            </w:tcMar>
          </w:tcPr>
          <w:p w14:paraId="09B1F6EA" w14:textId="77777777" w:rsidR="00865E2B" w:rsidRDefault="001759CD">
            <w:pPr>
              <w:spacing w:after="60" w:line="260" w:lineRule="auto"/>
            </w:pPr>
            <w:r>
              <w:rPr>
                <w:sz w:val="20"/>
                <w:szCs w:val="20"/>
              </w:rPr>
              <w:t>ITAA 1936 (</w:t>
            </w:r>
            <w:proofErr w:type="spellStart"/>
            <w:r>
              <w:rPr>
                <w:sz w:val="20"/>
                <w:szCs w:val="20"/>
              </w:rPr>
              <w:t>Cth</w:t>
            </w:r>
            <w:proofErr w:type="spellEnd"/>
            <w:r>
              <w:rPr>
                <w:sz w:val="20"/>
                <w:szCs w:val="20"/>
              </w:rPr>
              <w:t>) s 262A; GST Act s 70-5</w:t>
            </w:r>
          </w:p>
        </w:tc>
      </w:tr>
      <w:tr w:rsidR="00865E2B" w14:paraId="5FD40EFB" w14:textId="77777777" w:rsidTr="00FC20A7">
        <w:tc>
          <w:tcPr>
            <w:tcW w:w="1000" w:type="pct"/>
            <w:tcMar>
              <w:top w:w="100" w:type="dxa"/>
              <w:left w:w="120" w:type="dxa"/>
              <w:bottom w:w="100" w:type="dxa"/>
              <w:right w:w="120" w:type="dxa"/>
            </w:tcMar>
          </w:tcPr>
          <w:p w14:paraId="1B88051E" w14:textId="77777777" w:rsidR="00865E2B" w:rsidRDefault="001759CD">
            <w:pPr>
              <w:spacing w:after="60" w:line="260" w:lineRule="auto"/>
            </w:pPr>
            <w:r>
              <w:rPr>
                <w:sz w:val="20"/>
                <w:szCs w:val="20"/>
              </w:rPr>
              <w:t>Insurance</w:t>
            </w:r>
          </w:p>
        </w:tc>
        <w:tc>
          <w:tcPr>
            <w:tcW w:w="1384" w:type="pct"/>
            <w:tcMar>
              <w:top w:w="100" w:type="dxa"/>
              <w:left w:w="120" w:type="dxa"/>
              <w:bottom w:w="100" w:type="dxa"/>
              <w:right w:w="120" w:type="dxa"/>
            </w:tcMar>
          </w:tcPr>
          <w:p w14:paraId="4C391BF3" w14:textId="77777777" w:rsidR="00865E2B" w:rsidRDefault="001759CD">
            <w:pPr>
              <w:spacing w:after="60" w:line="260" w:lineRule="auto"/>
            </w:pPr>
            <w:r>
              <w:rPr>
                <w:sz w:val="20"/>
                <w:szCs w:val="20"/>
              </w:rPr>
              <w:t>Professional indemnity insurance certificates, claims correspondence</w:t>
            </w:r>
          </w:p>
        </w:tc>
        <w:tc>
          <w:tcPr>
            <w:tcW w:w="876" w:type="pct"/>
            <w:tcMar>
              <w:top w:w="100" w:type="dxa"/>
              <w:left w:w="120" w:type="dxa"/>
              <w:bottom w:w="100" w:type="dxa"/>
              <w:right w:w="120" w:type="dxa"/>
            </w:tcMar>
          </w:tcPr>
          <w:p w14:paraId="45F22121" w14:textId="77777777" w:rsidR="00865E2B" w:rsidRDefault="001759CD">
            <w:pPr>
              <w:spacing w:after="60" w:line="260" w:lineRule="auto"/>
            </w:pPr>
            <w:r>
              <w:rPr>
                <w:sz w:val="20"/>
                <w:szCs w:val="20"/>
              </w:rPr>
              <w:t>Permanent (claims-made cover)</w:t>
            </w:r>
          </w:p>
        </w:tc>
        <w:tc>
          <w:tcPr>
            <w:tcW w:w="1740" w:type="pct"/>
            <w:tcMar>
              <w:top w:w="100" w:type="dxa"/>
              <w:left w:w="120" w:type="dxa"/>
              <w:bottom w:w="100" w:type="dxa"/>
              <w:right w:w="120" w:type="dxa"/>
            </w:tcMar>
          </w:tcPr>
          <w:p w14:paraId="74EDBF62" w14:textId="77777777" w:rsidR="00865E2B" w:rsidRDefault="001759CD">
            <w:pPr>
              <w:spacing w:after="60" w:line="260" w:lineRule="auto"/>
            </w:pPr>
            <w:r>
              <w:rPr>
                <w:sz w:val="20"/>
                <w:szCs w:val="20"/>
              </w:rPr>
              <w:t>Practice risk management</w:t>
            </w:r>
          </w:p>
        </w:tc>
      </w:tr>
      <w:tr w:rsidR="00865E2B" w14:paraId="7C25517C" w14:textId="77777777" w:rsidTr="00FC20A7">
        <w:tc>
          <w:tcPr>
            <w:tcW w:w="1000" w:type="pct"/>
            <w:tcMar>
              <w:top w:w="100" w:type="dxa"/>
              <w:left w:w="120" w:type="dxa"/>
              <w:bottom w:w="100" w:type="dxa"/>
              <w:right w:w="120" w:type="dxa"/>
            </w:tcMar>
          </w:tcPr>
          <w:p w14:paraId="654FA11A" w14:textId="77777777" w:rsidR="00865E2B" w:rsidRDefault="001759CD">
            <w:pPr>
              <w:spacing w:after="60" w:line="260" w:lineRule="auto"/>
            </w:pPr>
            <w:r>
              <w:rPr>
                <w:sz w:val="20"/>
                <w:szCs w:val="20"/>
              </w:rPr>
              <w:t>Complaints and disciplinary records</w:t>
            </w:r>
          </w:p>
        </w:tc>
        <w:tc>
          <w:tcPr>
            <w:tcW w:w="1384" w:type="pct"/>
            <w:tcMar>
              <w:top w:w="100" w:type="dxa"/>
              <w:left w:w="120" w:type="dxa"/>
              <w:bottom w:w="100" w:type="dxa"/>
              <w:right w:w="120" w:type="dxa"/>
            </w:tcMar>
          </w:tcPr>
          <w:p w14:paraId="3AE44E31" w14:textId="77777777" w:rsidR="00865E2B" w:rsidRDefault="001759CD">
            <w:pPr>
              <w:spacing w:after="60" w:line="260" w:lineRule="auto"/>
            </w:pPr>
            <w:r>
              <w:rPr>
                <w:sz w:val="20"/>
                <w:szCs w:val="20"/>
              </w:rPr>
              <w:t>Client complaints, notifications to the LSC or QLS, internal investigations</w:t>
            </w:r>
          </w:p>
        </w:tc>
        <w:tc>
          <w:tcPr>
            <w:tcW w:w="876" w:type="pct"/>
            <w:tcMar>
              <w:top w:w="100" w:type="dxa"/>
              <w:left w:w="120" w:type="dxa"/>
              <w:bottom w:w="100" w:type="dxa"/>
              <w:right w:w="120" w:type="dxa"/>
            </w:tcMar>
          </w:tcPr>
          <w:p w14:paraId="63988F48" w14:textId="77777777" w:rsidR="00865E2B" w:rsidRDefault="001759CD">
            <w:pPr>
              <w:spacing w:after="60" w:line="260" w:lineRule="auto"/>
            </w:pPr>
            <w:r>
              <w:rPr>
                <w:sz w:val="20"/>
                <w:szCs w:val="20"/>
              </w:rPr>
              <w:t>7 years from resolution, or longer if associated with a matter under investigation</w:t>
            </w:r>
          </w:p>
        </w:tc>
        <w:tc>
          <w:tcPr>
            <w:tcW w:w="1740" w:type="pct"/>
            <w:tcMar>
              <w:top w:w="100" w:type="dxa"/>
              <w:left w:w="120" w:type="dxa"/>
              <w:bottom w:w="100" w:type="dxa"/>
              <w:right w:w="120" w:type="dxa"/>
            </w:tcMar>
          </w:tcPr>
          <w:p w14:paraId="6EBDA30E" w14:textId="77777777" w:rsidR="00865E2B" w:rsidRDefault="001759CD">
            <w:pPr>
              <w:spacing w:after="60" w:line="260" w:lineRule="auto"/>
            </w:pPr>
            <w:r>
              <w:rPr>
                <w:sz w:val="20"/>
                <w:szCs w:val="20"/>
              </w:rPr>
              <w:t>LPA 2007 (Qld); risk management</w:t>
            </w:r>
          </w:p>
        </w:tc>
      </w:tr>
      <w:tr w:rsidR="00865E2B" w14:paraId="1F7AF797" w14:textId="77777777" w:rsidTr="00FC20A7">
        <w:tc>
          <w:tcPr>
            <w:tcW w:w="1000" w:type="pct"/>
            <w:tcMar>
              <w:top w:w="100" w:type="dxa"/>
              <w:left w:w="120" w:type="dxa"/>
              <w:bottom w:w="100" w:type="dxa"/>
              <w:right w:w="120" w:type="dxa"/>
            </w:tcMar>
          </w:tcPr>
          <w:p w14:paraId="3EB3F690" w14:textId="77777777" w:rsidR="00865E2B" w:rsidRDefault="001759CD">
            <w:pPr>
              <w:spacing w:after="60" w:line="260" w:lineRule="auto"/>
            </w:pPr>
            <w:r>
              <w:rPr>
                <w:sz w:val="20"/>
                <w:szCs w:val="20"/>
              </w:rPr>
              <w:lastRenderedPageBreak/>
              <w:t>Records subject to legal hold</w:t>
            </w:r>
          </w:p>
        </w:tc>
        <w:tc>
          <w:tcPr>
            <w:tcW w:w="1384" w:type="pct"/>
            <w:tcMar>
              <w:top w:w="100" w:type="dxa"/>
              <w:left w:w="120" w:type="dxa"/>
              <w:bottom w:w="100" w:type="dxa"/>
              <w:right w:w="120" w:type="dxa"/>
            </w:tcMar>
          </w:tcPr>
          <w:p w14:paraId="1906B72D" w14:textId="77777777" w:rsidR="00865E2B" w:rsidRDefault="001759CD">
            <w:pPr>
              <w:spacing w:after="60" w:line="260" w:lineRule="auto"/>
            </w:pPr>
            <w:r>
              <w:rPr>
                <w:sz w:val="20"/>
                <w:szCs w:val="20"/>
              </w:rPr>
              <w:t>Records relevant to actual or reasonably anticipated litigation, regulatory investigation, complaint, audit or notifiable data breach assessment</w:t>
            </w:r>
          </w:p>
        </w:tc>
        <w:tc>
          <w:tcPr>
            <w:tcW w:w="876" w:type="pct"/>
            <w:tcMar>
              <w:top w:w="100" w:type="dxa"/>
              <w:left w:w="120" w:type="dxa"/>
              <w:bottom w:w="100" w:type="dxa"/>
              <w:right w:w="120" w:type="dxa"/>
            </w:tcMar>
          </w:tcPr>
          <w:p w14:paraId="31ADEA0D" w14:textId="77777777" w:rsidR="00865E2B" w:rsidRDefault="001759CD">
            <w:pPr>
              <w:spacing w:after="60" w:line="260" w:lineRule="auto"/>
            </w:pPr>
            <w:r>
              <w:rPr>
                <w:sz w:val="20"/>
                <w:szCs w:val="20"/>
              </w:rPr>
              <w:t>Suspend destruction until the hold is released, regardless of the scheduled date</w:t>
            </w:r>
          </w:p>
        </w:tc>
        <w:tc>
          <w:tcPr>
            <w:tcW w:w="1740" w:type="pct"/>
            <w:tcMar>
              <w:top w:w="100" w:type="dxa"/>
              <w:left w:w="120" w:type="dxa"/>
              <w:bottom w:w="100" w:type="dxa"/>
              <w:right w:w="120" w:type="dxa"/>
            </w:tcMar>
          </w:tcPr>
          <w:p w14:paraId="77F8D11B" w14:textId="77777777" w:rsidR="00865E2B" w:rsidRDefault="001759CD">
            <w:pPr>
              <w:spacing w:after="60" w:line="260" w:lineRule="auto"/>
            </w:pPr>
            <w:r>
              <w:rPr>
                <w:sz w:val="20"/>
                <w:szCs w:val="20"/>
              </w:rPr>
              <w:t>Common law preservation; LPR; APP 11.2(d)</w:t>
            </w:r>
          </w:p>
        </w:tc>
      </w:tr>
      <w:tr w:rsidR="00865E2B" w14:paraId="7485C7F1" w14:textId="77777777" w:rsidTr="00FC20A7">
        <w:tc>
          <w:tcPr>
            <w:tcW w:w="1000" w:type="pct"/>
            <w:tcMar>
              <w:top w:w="100" w:type="dxa"/>
              <w:left w:w="120" w:type="dxa"/>
              <w:bottom w:w="100" w:type="dxa"/>
              <w:right w:w="120" w:type="dxa"/>
            </w:tcMar>
          </w:tcPr>
          <w:p w14:paraId="4B791C38" w14:textId="77777777" w:rsidR="00865E2B" w:rsidRDefault="001759CD">
            <w:pPr>
              <w:spacing w:after="60" w:line="260" w:lineRule="auto"/>
            </w:pPr>
            <w:r>
              <w:rPr>
                <w:sz w:val="20"/>
                <w:szCs w:val="20"/>
              </w:rPr>
              <w:t>Destruction and disposal logs</w:t>
            </w:r>
          </w:p>
        </w:tc>
        <w:tc>
          <w:tcPr>
            <w:tcW w:w="1384" w:type="pct"/>
            <w:tcMar>
              <w:top w:w="100" w:type="dxa"/>
              <w:left w:w="120" w:type="dxa"/>
              <w:bottom w:w="100" w:type="dxa"/>
              <w:right w:w="120" w:type="dxa"/>
            </w:tcMar>
          </w:tcPr>
          <w:p w14:paraId="003C6B50" w14:textId="77777777" w:rsidR="00865E2B" w:rsidRDefault="001759CD">
            <w:pPr>
              <w:spacing w:after="60" w:line="260" w:lineRule="auto"/>
            </w:pPr>
            <w:r>
              <w:rPr>
                <w:sz w:val="20"/>
                <w:szCs w:val="20"/>
              </w:rPr>
              <w:t>Records identifying what was destroyed, when, by whom, by what method, and the authoriser</w:t>
            </w:r>
          </w:p>
        </w:tc>
        <w:tc>
          <w:tcPr>
            <w:tcW w:w="876" w:type="pct"/>
            <w:tcMar>
              <w:top w:w="100" w:type="dxa"/>
              <w:left w:w="120" w:type="dxa"/>
              <w:bottom w:w="100" w:type="dxa"/>
              <w:right w:w="120" w:type="dxa"/>
            </w:tcMar>
          </w:tcPr>
          <w:p w14:paraId="28ED7CCF" w14:textId="295935C3" w:rsidR="00865E2B" w:rsidRDefault="00DB54EE">
            <w:pPr>
              <w:spacing w:after="60" w:line="260" w:lineRule="auto"/>
            </w:pPr>
            <w:r>
              <w:rPr>
                <w:sz w:val="20"/>
                <w:szCs w:val="20"/>
              </w:rPr>
              <w:t>Indefinite</w:t>
            </w:r>
          </w:p>
        </w:tc>
        <w:tc>
          <w:tcPr>
            <w:tcW w:w="1740" w:type="pct"/>
            <w:tcMar>
              <w:top w:w="100" w:type="dxa"/>
              <w:left w:w="120" w:type="dxa"/>
              <w:bottom w:w="100" w:type="dxa"/>
              <w:right w:w="120" w:type="dxa"/>
            </w:tcMar>
          </w:tcPr>
          <w:p w14:paraId="39D9D323" w14:textId="4A50DA5C" w:rsidR="00865E2B" w:rsidRDefault="00DB54EE">
            <w:pPr>
              <w:spacing w:after="60" w:line="260" w:lineRule="auto"/>
            </w:pPr>
            <w:r>
              <w:rPr>
                <w:sz w:val="20"/>
                <w:szCs w:val="20"/>
              </w:rPr>
              <w:t xml:space="preserve">National Archives: </w:t>
            </w:r>
            <w:hyperlink r:id="rId27" w:history="1">
              <w:r w:rsidRPr="00DB54EE">
                <w:rPr>
                  <w:rStyle w:val="Hyperlink"/>
                  <w:sz w:val="20"/>
                  <w:szCs w:val="20"/>
                </w:rPr>
                <w:t>Evidence in legal proceedings guidance</w:t>
              </w:r>
            </w:hyperlink>
          </w:p>
        </w:tc>
      </w:tr>
      <w:tr w:rsidR="004D3AD5" w14:paraId="6124B531" w14:textId="77777777" w:rsidTr="00FC20A7">
        <w:tc>
          <w:tcPr>
            <w:tcW w:w="1000" w:type="pct"/>
            <w:tcBorders>
              <w:top w:val="single" w:sz="4" w:space="0" w:color="BFBFBF"/>
              <w:left w:val="single" w:sz="4" w:space="0" w:color="BFBFBF"/>
              <w:bottom w:val="single" w:sz="4" w:space="0" w:color="BFBFBF"/>
              <w:right w:val="single" w:sz="4" w:space="0" w:color="BFBFBF"/>
            </w:tcBorders>
            <w:tcMar>
              <w:top w:w="100" w:type="dxa"/>
              <w:left w:w="120" w:type="dxa"/>
              <w:bottom w:w="100" w:type="dxa"/>
              <w:right w:w="120" w:type="dxa"/>
            </w:tcMar>
          </w:tcPr>
          <w:p w14:paraId="18586CD3" w14:textId="77777777" w:rsidR="004D3AD5" w:rsidRPr="004D3AD5" w:rsidRDefault="004D3AD5" w:rsidP="00741D20">
            <w:pPr>
              <w:spacing w:after="60" w:line="260" w:lineRule="auto"/>
              <w:rPr>
                <w:sz w:val="20"/>
                <w:szCs w:val="20"/>
              </w:rPr>
            </w:pPr>
            <w:r>
              <w:rPr>
                <w:sz w:val="20"/>
                <w:szCs w:val="20"/>
              </w:rPr>
              <w:t>Original wills and codicils held in safe custody</w:t>
            </w:r>
          </w:p>
        </w:tc>
        <w:tc>
          <w:tcPr>
            <w:tcW w:w="1384" w:type="pct"/>
            <w:tcBorders>
              <w:top w:val="single" w:sz="4" w:space="0" w:color="BFBFBF"/>
              <w:left w:val="single" w:sz="4" w:space="0" w:color="BFBFBF"/>
              <w:bottom w:val="single" w:sz="4" w:space="0" w:color="BFBFBF"/>
              <w:right w:val="single" w:sz="4" w:space="0" w:color="BFBFBF"/>
            </w:tcBorders>
            <w:tcMar>
              <w:top w:w="100" w:type="dxa"/>
              <w:left w:w="120" w:type="dxa"/>
              <w:bottom w:w="100" w:type="dxa"/>
              <w:right w:w="120" w:type="dxa"/>
            </w:tcMar>
          </w:tcPr>
          <w:p w14:paraId="1353922D" w14:textId="77777777" w:rsidR="004D3AD5" w:rsidRPr="004D3AD5" w:rsidRDefault="004D3AD5" w:rsidP="00741D20">
            <w:pPr>
              <w:spacing w:after="60" w:line="260" w:lineRule="auto"/>
              <w:rPr>
                <w:sz w:val="20"/>
                <w:szCs w:val="20"/>
              </w:rPr>
            </w:pPr>
            <w:r>
              <w:rPr>
                <w:sz w:val="20"/>
                <w:szCs w:val="20"/>
              </w:rPr>
              <w:t>Original testamentary instruments</w:t>
            </w:r>
          </w:p>
        </w:tc>
        <w:tc>
          <w:tcPr>
            <w:tcW w:w="876" w:type="pct"/>
            <w:tcBorders>
              <w:top w:val="single" w:sz="4" w:space="0" w:color="BFBFBF"/>
              <w:left w:val="single" w:sz="4" w:space="0" w:color="BFBFBF"/>
              <w:bottom w:val="single" w:sz="4" w:space="0" w:color="BFBFBF"/>
              <w:right w:val="single" w:sz="4" w:space="0" w:color="BFBFBF"/>
            </w:tcBorders>
            <w:tcMar>
              <w:top w:w="100" w:type="dxa"/>
              <w:left w:w="120" w:type="dxa"/>
              <w:bottom w:w="100" w:type="dxa"/>
              <w:right w:w="120" w:type="dxa"/>
            </w:tcMar>
          </w:tcPr>
          <w:p w14:paraId="081B92AE" w14:textId="77777777" w:rsidR="004D3AD5" w:rsidRPr="004D3AD5" w:rsidRDefault="004D3AD5" w:rsidP="00741D20">
            <w:pPr>
              <w:spacing w:after="60" w:line="260" w:lineRule="auto"/>
              <w:rPr>
                <w:sz w:val="20"/>
                <w:szCs w:val="20"/>
              </w:rPr>
            </w:pPr>
            <w:r>
              <w:rPr>
                <w:sz w:val="20"/>
                <w:szCs w:val="20"/>
              </w:rPr>
              <w:t>Indefinite, until proved, revoked, or returned to client on instructions</w:t>
            </w:r>
          </w:p>
        </w:tc>
        <w:tc>
          <w:tcPr>
            <w:tcW w:w="1740" w:type="pct"/>
            <w:tcBorders>
              <w:top w:val="single" w:sz="4" w:space="0" w:color="BFBFBF"/>
              <w:left w:val="single" w:sz="4" w:space="0" w:color="BFBFBF"/>
              <w:bottom w:val="single" w:sz="4" w:space="0" w:color="BFBFBF"/>
              <w:right w:val="single" w:sz="4" w:space="0" w:color="BFBFBF"/>
            </w:tcBorders>
            <w:tcMar>
              <w:top w:w="100" w:type="dxa"/>
              <w:left w:w="120" w:type="dxa"/>
              <w:bottom w:w="100" w:type="dxa"/>
              <w:right w:w="120" w:type="dxa"/>
            </w:tcMar>
          </w:tcPr>
          <w:p w14:paraId="24D6D7E2" w14:textId="77777777" w:rsidR="004D3AD5" w:rsidRPr="004D3AD5" w:rsidRDefault="004D3AD5" w:rsidP="00741D20">
            <w:pPr>
              <w:spacing w:after="60" w:line="260" w:lineRule="auto"/>
              <w:rPr>
                <w:sz w:val="20"/>
                <w:szCs w:val="20"/>
              </w:rPr>
            </w:pPr>
            <w:r>
              <w:rPr>
                <w:sz w:val="20"/>
                <w:szCs w:val="20"/>
              </w:rPr>
              <w:t xml:space="preserve">Bailment; </w:t>
            </w:r>
            <w:r w:rsidRPr="00824456">
              <w:rPr>
                <w:i/>
                <w:iCs/>
                <w:sz w:val="20"/>
                <w:szCs w:val="20"/>
              </w:rPr>
              <w:t>Succession Act 1981</w:t>
            </w:r>
            <w:r>
              <w:rPr>
                <w:sz w:val="20"/>
                <w:szCs w:val="20"/>
              </w:rPr>
              <w:t xml:space="preserve"> (Qld)</w:t>
            </w:r>
          </w:p>
        </w:tc>
      </w:tr>
      <w:tr w:rsidR="004D3AD5" w14:paraId="21947843" w14:textId="77777777" w:rsidTr="00FC20A7">
        <w:tc>
          <w:tcPr>
            <w:tcW w:w="1000" w:type="pct"/>
            <w:tcBorders>
              <w:top w:val="single" w:sz="4" w:space="0" w:color="BFBFBF"/>
              <w:left w:val="single" w:sz="4" w:space="0" w:color="BFBFBF"/>
              <w:bottom w:val="single" w:sz="4" w:space="0" w:color="BFBFBF"/>
              <w:right w:val="single" w:sz="4" w:space="0" w:color="BFBFBF"/>
            </w:tcBorders>
            <w:tcMar>
              <w:top w:w="100" w:type="dxa"/>
              <w:left w:w="120" w:type="dxa"/>
              <w:bottom w:w="100" w:type="dxa"/>
              <w:right w:w="120" w:type="dxa"/>
            </w:tcMar>
          </w:tcPr>
          <w:p w14:paraId="58480C90" w14:textId="77777777" w:rsidR="004D3AD5" w:rsidRDefault="004D3AD5" w:rsidP="00741D20">
            <w:pPr>
              <w:spacing w:after="60" w:line="260" w:lineRule="auto"/>
              <w:rPr>
                <w:sz w:val="20"/>
                <w:szCs w:val="20"/>
              </w:rPr>
            </w:pPr>
            <w:r>
              <w:rPr>
                <w:sz w:val="20"/>
                <w:szCs w:val="20"/>
              </w:rPr>
              <w:t>Wills – supporting evidence</w:t>
            </w:r>
          </w:p>
        </w:tc>
        <w:tc>
          <w:tcPr>
            <w:tcW w:w="1384" w:type="pct"/>
            <w:tcBorders>
              <w:top w:val="single" w:sz="4" w:space="0" w:color="BFBFBF"/>
              <w:left w:val="single" w:sz="4" w:space="0" w:color="BFBFBF"/>
              <w:bottom w:val="single" w:sz="4" w:space="0" w:color="BFBFBF"/>
              <w:right w:val="single" w:sz="4" w:space="0" w:color="BFBFBF"/>
            </w:tcBorders>
            <w:tcMar>
              <w:top w:w="100" w:type="dxa"/>
              <w:left w:w="120" w:type="dxa"/>
              <w:bottom w:w="100" w:type="dxa"/>
              <w:right w:w="120" w:type="dxa"/>
            </w:tcMar>
          </w:tcPr>
          <w:p w14:paraId="5F16E280" w14:textId="77777777" w:rsidR="004D3AD5" w:rsidRDefault="004D3AD5" w:rsidP="00741D20">
            <w:pPr>
              <w:spacing w:after="60" w:line="260" w:lineRule="auto"/>
              <w:rPr>
                <w:sz w:val="20"/>
                <w:szCs w:val="20"/>
              </w:rPr>
            </w:pPr>
            <w:r>
              <w:rPr>
                <w:sz w:val="20"/>
                <w:szCs w:val="20"/>
              </w:rPr>
              <w:t>Excerpts from wills files – instructions – Lexon checklist – medical reports (note: sensitive information)</w:t>
            </w:r>
          </w:p>
        </w:tc>
        <w:tc>
          <w:tcPr>
            <w:tcW w:w="876" w:type="pct"/>
            <w:tcBorders>
              <w:top w:val="single" w:sz="4" w:space="0" w:color="BFBFBF"/>
              <w:left w:val="single" w:sz="4" w:space="0" w:color="BFBFBF"/>
              <w:bottom w:val="single" w:sz="4" w:space="0" w:color="BFBFBF"/>
              <w:right w:val="single" w:sz="4" w:space="0" w:color="BFBFBF"/>
            </w:tcBorders>
            <w:tcMar>
              <w:top w:w="100" w:type="dxa"/>
              <w:left w:w="120" w:type="dxa"/>
              <w:bottom w:w="100" w:type="dxa"/>
              <w:right w:w="120" w:type="dxa"/>
            </w:tcMar>
          </w:tcPr>
          <w:p w14:paraId="0BFC41D0" w14:textId="77777777" w:rsidR="004D3AD5" w:rsidRDefault="004D3AD5" w:rsidP="00741D20">
            <w:pPr>
              <w:spacing w:after="60" w:line="260" w:lineRule="auto"/>
              <w:rPr>
                <w:sz w:val="20"/>
                <w:szCs w:val="20"/>
              </w:rPr>
            </w:pPr>
            <w:r>
              <w:rPr>
                <w:sz w:val="20"/>
                <w:szCs w:val="20"/>
              </w:rPr>
              <w:t>For as long as the Will is kept.</w:t>
            </w:r>
          </w:p>
        </w:tc>
        <w:tc>
          <w:tcPr>
            <w:tcW w:w="1740" w:type="pct"/>
            <w:tcBorders>
              <w:top w:val="single" w:sz="4" w:space="0" w:color="BFBFBF"/>
              <w:left w:val="single" w:sz="4" w:space="0" w:color="BFBFBF"/>
              <w:bottom w:val="single" w:sz="4" w:space="0" w:color="BFBFBF"/>
              <w:right w:val="single" w:sz="4" w:space="0" w:color="BFBFBF"/>
            </w:tcBorders>
            <w:tcMar>
              <w:top w:w="100" w:type="dxa"/>
              <w:left w:w="120" w:type="dxa"/>
              <w:bottom w:w="100" w:type="dxa"/>
              <w:right w:w="120" w:type="dxa"/>
            </w:tcMar>
          </w:tcPr>
          <w:p w14:paraId="67757EF5" w14:textId="77777777" w:rsidR="004D3AD5" w:rsidRDefault="004D3AD5" w:rsidP="00741D20">
            <w:pPr>
              <w:spacing w:after="60" w:line="260" w:lineRule="auto"/>
              <w:rPr>
                <w:sz w:val="20"/>
                <w:szCs w:val="20"/>
              </w:rPr>
            </w:pPr>
            <w:r>
              <w:rPr>
                <w:sz w:val="20"/>
                <w:szCs w:val="20"/>
              </w:rPr>
              <w:t xml:space="preserve">See judicial observations, for example: </w:t>
            </w:r>
            <w:r w:rsidRPr="00201EEE">
              <w:rPr>
                <w:i/>
                <w:iCs/>
                <w:sz w:val="20"/>
                <w:szCs w:val="20"/>
              </w:rPr>
              <w:t>Nicholson v Knaggs</w:t>
            </w:r>
            <w:r>
              <w:rPr>
                <w:sz w:val="20"/>
                <w:szCs w:val="20"/>
              </w:rPr>
              <w:t xml:space="preserve"> [2009] VR 64, LIV Guidance, QLS Guidance.</w:t>
            </w:r>
          </w:p>
        </w:tc>
      </w:tr>
      <w:tr w:rsidR="004D3AD5" w14:paraId="646F8B3E" w14:textId="77777777" w:rsidTr="00FC20A7">
        <w:tc>
          <w:tcPr>
            <w:tcW w:w="1000" w:type="pct"/>
            <w:tcBorders>
              <w:top w:val="single" w:sz="4" w:space="0" w:color="BFBFBF"/>
              <w:left w:val="single" w:sz="4" w:space="0" w:color="BFBFBF"/>
              <w:bottom w:val="single" w:sz="4" w:space="0" w:color="BFBFBF"/>
              <w:right w:val="single" w:sz="4" w:space="0" w:color="BFBFBF"/>
            </w:tcBorders>
            <w:tcMar>
              <w:top w:w="100" w:type="dxa"/>
              <w:left w:w="120" w:type="dxa"/>
              <w:bottom w:w="100" w:type="dxa"/>
              <w:right w:w="120" w:type="dxa"/>
            </w:tcMar>
          </w:tcPr>
          <w:p w14:paraId="57D67476" w14:textId="77777777" w:rsidR="004D3AD5" w:rsidRPr="004D3AD5" w:rsidRDefault="004D3AD5" w:rsidP="00741D20">
            <w:pPr>
              <w:spacing w:after="60" w:line="260" w:lineRule="auto"/>
              <w:rPr>
                <w:sz w:val="20"/>
                <w:szCs w:val="20"/>
              </w:rPr>
            </w:pPr>
            <w:r>
              <w:rPr>
                <w:sz w:val="20"/>
                <w:szCs w:val="20"/>
              </w:rPr>
              <w:t>Original deeds, leases, binding financial agreements, powers of attorney</w:t>
            </w:r>
          </w:p>
        </w:tc>
        <w:tc>
          <w:tcPr>
            <w:tcW w:w="1384" w:type="pct"/>
            <w:tcBorders>
              <w:top w:val="single" w:sz="4" w:space="0" w:color="BFBFBF"/>
              <w:left w:val="single" w:sz="4" w:space="0" w:color="BFBFBF"/>
              <w:bottom w:val="single" w:sz="4" w:space="0" w:color="BFBFBF"/>
              <w:right w:val="single" w:sz="4" w:space="0" w:color="BFBFBF"/>
            </w:tcBorders>
            <w:tcMar>
              <w:top w:w="100" w:type="dxa"/>
              <w:left w:w="120" w:type="dxa"/>
              <w:bottom w:w="100" w:type="dxa"/>
              <w:right w:w="120" w:type="dxa"/>
            </w:tcMar>
          </w:tcPr>
          <w:p w14:paraId="593EAFB4" w14:textId="77777777" w:rsidR="004D3AD5" w:rsidRPr="004D3AD5" w:rsidRDefault="004D3AD5" w:rsidP="00741D20">
            <w:pPr>
              <w:spacing w:after="60" w:line="260" w:lineRule="auto"/>
              <w:rPr>
                <w:sz w:val="20"/>
                <w:szCs w:val="20"/>
              </w:rPr>
            </w:pPr>
            <w:r>
              <w:rPr>
                <w:sz w:val="20"/>
                <w:szCs w:val="20"/>
              </w:rPr>
              <w:t>Executed original instruments</w:t>
            </w:r>
          </w:p>
        </w:tc>
        <w:tc>
          <w:tcPr>
            <w:tcW w:w="876" w:type="pct"/>
            <w:tcBorders>
              <w:top w:val="single" w:sz="4" w:space="0" w:color="BFBFBF"/>
              <w:left w:val="single" w:sz="4" w:space="0" w:color="BFBFBF"/>
              <w:bottom w:val="single" w:sz="4" w:space="0" w:color="BFBFBF"/>
              <w:right w:val="single" w:sz="4" w:space="0" w:color="BFBFBF"/>
            </w:tcBorders>
            <w:tcMar>
              <w:top w:w="100" w:type="dxa"/>
              <w:left w:w="120" w:type="dxa"/>
              <w:bottom w:w="100" w:type="dxa"/>
              <w:right w:w="120" w:type="dxa"/>
            </w:tcMar>
          </w:tcPr>
          <w:p w14:paraId="54E76840" w14:textId="77777777" w:rsidR="004D3AD5" w:rsidRPr="004D3AD5" w:rsidRDefault="004D3AD5" w:rsidP="00741D20">
            <w:pPr>
              <w:spacing w:after="60" w:line="260" w:lineRule="auto"/>
              <w:rPr>
                <w:sz w:val="20"/>
                <w:szCs w:val="20"/>
              </w:rPr>
            </w:pPr>
            <w:r>
              <w:rPr>
                <w:sz w:val="20"/>
                <w:szCs w:val="20"/>
              </w:rPr>
              <w:t>Indefinite, or for so long as the document is operative, subject to client instructions</w:t>
            </w:r>
          </w:p>
        </w:tc>
        <w:tc>
          <w:tcPr>
            <w:tcW w:w="1740" w:type="pct"/>
            <w:tcBorders>
              <w:top w:val="single" w:sz="4" w:space="0" w:color="BFBFBF"/>
              <w:left w:val="single" w:sz="4" w:space="0" w:color="BFBFBF"/>
              <w:bottom w:val="single" w:sz="4" w:space="0" w:color="BFBFBF"/>
              <w:right w:val="single" w:sz="4" w:space="0" w:color="BFBFBF"/>
            </w:tcBorders>
            <w:tcMar>
              <w:top w:w="100" w:type="dxa"/>
              <w:left w:w="120" w:type="dxa"/>
              <w:bottom w:w="100" w:type="dxa"/>
              <w:right w:w="120" w:type="dxa"/>
            </w:tcMar>
          </w:tcPr>
          <w:p w14:paraId="4C97539D" w14:textId="77777777" w:rsidR="004D3AD5" w:rsidRPr="004D3AD5" w:rsidRDefault="004D3AD5" w:rsidP="00741D20">
            <w:pPr>
              <w:spacing w:after="60" w:line="260" w:lineRule="auto"/>
              <w:rPr>
                <w:sz w:val="20"/>
                <w:szCs w:val="20"/>
              </w:rPr>
            </w:pPr>
            <w:r w:rsidRPr="00201EEE">
              <w:rPr>
                <w:i/>
                <w:iCs/>
                <w:sz w:val="20"/>
                <w:szCs w:val="20"/>
              </w:rPr>
              <w:t>Limitation of Actions Act 1974</w:t>
            </w:r>
            <w:r>
              <w:rPr>
                <w:sz w:val="20"/>
                <w:szCs w:val="20"/>
              </w:rPr>
              <w:t xml:space="preserve"> (Qld) (deeds: 6 years for deeds executed on or after 1 August 2025); risk-based assessment</w:t>
            </w:r>
          </w:p>
        </w:tc>
      </w:tr>
      <w:tr w:rsidR="004D3AD5" w14:paraId="349F022C" w14:textId="77777777" w:rsidTr="00FC20A7">
        <w:tc>
          <w:tcPr>
            <w:tcW w:w="1000" w:type="pct"/>
            <w:tcBorders>
              <w:top w:val="single" w:sz="4" w:space="0" w:color="BFBFBF"/>
              <w:left w:val="single" w:sz="4" w:space="0" w:color="BFBFBF"/>
              <w:bottom w:val="single" w:sz="4" w:space="0" w:color="BFBFBF"/>
              <w:right w:val="single" w:sz="4" w:space="0" w:color="BFBFBF"/>
            </w:tcBorders>
            <w:tcMar>
              <w:top w:w="100" w:type="dxa"/>
              <w:left w:w="120" w:type="dxa"/>
              <w:bottom w:w="100" w:type="dxa"/>
              <w:right w:w="120" w:type="dxa"/>
            </w:tcMar>
          </w:tcPr>
          <w:p w14:paraId="263DC83B" w14:textId="77777777" w:rsidR="004D3AD5" w:rsidRPr="004D3AD5" w:rsidRDefault="004D3AD5" w:rsidP="00741D20">
            <w:pPr>
              <w:spacing w:after="60" w:line="260" w:lineRule="auto"/>
              <w:rPr>
                <w:sz w:val="20"/>
                <w:szCs w:val="20"/>
              </w:rPr>
            </w:pPr>
            <w:r>
              <w:rPr>
                <w:sz w:val="20"/>
                <w:szCs w:val="20"/>
              </w:rPr>
              <w:t>Conveyancing verification of identity (VOI) records</w:t>
            </w:r>
          </w:p>
        </w:tc>
        <w:tc>
          <w:tcPr>
            <w:tcW w:w="1384" w:type="pct"/>
            <w:tcBorders>
              <w:top w:val="single" w:sz="4" w:space="0" w:color="BFBFBF"/>
              <w:left w:val="single" w:sz="4" w:space="0" w:color="BFBFBF"/>
              <w:bottom w:val="single" w:sz="4" w:space="0" w:color="BFBFBF"/>
              <w:right w:val="single" w:sz="4" w:space="0" w:color="BFBFBF"/>
            </w:tcBorders>
            <w:tcMar>
              <w:top w:w="100" w:type="dxa"/>
              <w:left w:w="120" w:type="dxa"/>
              <w:bottom w:w="100" w:type="dxa"/>
              <w:right w:w="120" w:type="dxa"/>
            </w:tcMar>
          </w:tcPr>
          <w:p w14:paraId="2B3738D5" w14:textId="77777777" w:rsidR="004D3AD5" w:rsidRPr="004D3AD5" w:rsidRDefault="004D3AD5" w:rsidP="00741D20">
            <w:pPr>
              <w:spacing w:after="60" w:line="260" w:lineRule="auto"/>
              <w:rPr>
                <w:sz w:val="20"/>
                <w:szCs w:val="20"/>
              </w:rPr>
            </w:pPr>
            <w:r>
              <w:rPr>
                <w:sz w:val="20"/>
                <w:szCs w:val="20"/>
              </w:rPr>
              <w:t>Identity verification certificates and supporting records for property transactions</w:t>
            </w:r>
          </w:p>
        </w:tc>
        <w:tc>
          <w:tcPr>
            <w:tcW w:w="876" w:type="pct"/>
            <w:tcBorders>
              <w:top w:val="single" w:sz="4" w:space="0" w:color="BFBFBF"/>
              <w:left w:val="single" w:sz="4" w:space="0" w:color="BFBFBF"/>
              <w:bottom w:val="single" w:sz="4" w:space="0" w:color="BFBFBF"/>
              <w:right w:val="single" w:sz="4" w:space="0" w:color="BFBFBF"/>
            </w:tcBorders>
            <w:tcMar>
              <w:top w:w="100" w:type="dxa"/>
              <w:left w:w="120" w:type="dxa"/>
              <w:bottom w:w="100" w:type="dxa"/>
              <w:right w:w="120" w:type="dxa"/>
            </w:tcMar>
          </w:tcPr>
          <w:p w14:paraId="008BFC1B" w14:textId="77777777" w:rsidR="004D3AD5" w:rsidRPr="004D3AD5" w:rsidRDefault="004D3AD5" w:rsidP="00741D20">
            <w:pPr>
              <w:spacing w:after="60" w:line="260" w:lineRule="auto"/>
              <w:rPr>
                <w:sz w:val="20"/>
                <w:szCs w:val="20"/>
              </w:rPr>
            </w:pPr>
            <w:r>
              <w:rPr>
                <w:sz w:val="20"/>
                <w:szCs w:val="20"/>
              </w:rPr>
              <w:t>7 years</w:t>
            </w:r>
          </w:p>
        </w:tc>
        <w:tc>
          <w:tcPr>
            <w:tcW w:w="1740" w:type="pct"/>
            <w:tcBorders>
              <w:top w:val="single" w:sz="4" w:space="0" w:color="BFBFBF"/>
              <w:left w:val="single" w:sz="4" w:space="0" w:color="BFBFBF"/>
              <w:bottom w:val="single" w:sz="4" w:space="0" w:color="BFBFBF"/>
              <w:right w:val="single" w:sz="4" w:space="0" w:color="BFBFBF"/>
            </w:tcBorders>
            <w:tcMar>
              <w:top w:w="100" w:type="dxa"/>
              <w:left w:w="120" w:type="dxa"/>
              <w:bottom w:w="100" w:type="dxa"/>
              <w:right w:w="120" w:type="dxa"/>
            </w:tcMar>
          </w:tcPr>
          <w:p w14:paraId="1553382E" w14:textId="77777777" w:rsidR="004D3AD5" w:rsidRPr="004D3AD5" w:rsidRDefault="004D3AD5" w:rsidP="00741D20">
            <w:pPr>
              <w:spacing w:after="60" w:line="260" w:lineRule="auto"/>
              <w:rPr>
                <w:sz w:val="20"/>
                <w:szCs w:val="20"/>
              </w:rPr>
            </w:pPr>
            <w:r w:rsidRPr="00201EEE">
              <w:rPr>
                <w:i/>
                <w:iCs/>
                <w:sz w:val="20"/>
                <w:szCs w:val="20"/>
              </w:rPr>
              <w:t>Land Title Act 1994</w:t>
            </w:r>
            <w:r>
              <w:rPr>
                <w:sz w:val="20"/>
                <w:szCs w:val="20"/>
              </w:rPr>
              <w:t xml:space="preserve"> (Qld); Titles Queensland VOI Standard</w:t>
            </w:r>
          </w:p>
        </w:tc>
      </w:tr>
      <w:tr w:rsidR="00FC20A7" w14:paraId="7C1015A6" w14:textId="77777777" w:rsidTr="00FC20A7">
        <w:tc>
          <w:tcPr>
            <w:tcW w:w="1000" w:type="pct"/>
            <w:tcBorders>
              <w:top w:val="single" w:sz="4" w:space="0" w:color="BFBFBF"/>
              <w:left w:val="single" w:sz="4" w:space="0" w:color="BFBFBF"/>
              <w:bottom w:val="single" w:sz="4" w:space="0" w:color="BFBFBF"/>
              <w:right w:val="single" w:sz="4" w:space="0" w:color="BFBFBF"/>
            </w:tcBorders>
            <w:tcMar>
              <w:top w:w="100" w:type="dxa"/>
              <w:left w:w="120" w:type="dxa"/>
              <w:bottom w:w="100" w:type="dxa"/>
              <w:right w:w="120" w:type="dxa"/>
            </w:tcMar>
          </w:tcPr>
          <w:p w14:paraId="2A9391FD" w14:textId="21D25B8E" w:rsidR="00FC20A7" w:rsidRDefault="00FC20A7" w:rsidP="00741D20">
            <w:pPr>
              <w:spacing w:after="60" w:line="260" w:lineRule="auto"/>
              <w:rPr>
                <w:sz w:val="20"/>
                <w:szCs w:val="20"/>
              </w:rPr>
            </w:pPr>
            <w:r>
              <w:rPr>
                <w:sz w:val="20"/>
                <w:szCs w:val="20"/>
              </w:rPr>
              <w:t>Files – criminal</w:t>
            </w:r>
          </w:p>
        </w:tc>
        <w:tc>
          <w:tcPr>
            <w:tcW w:w="1384" w:type="pct"/>
            <w:tcBorders>
              <w:top w:val="single" w:sz="4" w:space="0" w:color="BFBFBF"/>
              <w:left w:val="single" w:sz="4" w:space="0" w:color="BFBFBF"/>
              <w:bottom w:val="single" w:sz="4" w:space="0" w:color="BFBFBF"/>
              <w:right w:val="single" w:sz="4" w:space="0" w:color="BFBFBF"/>
            </w:tcBorders>
            <w:tcMar>
              <w:top w:w="100" w:type="dxa"/>
              <w:left w:w="120" w:type="dxa"/>
              <w:bottom w:w="100" w:type="dxa"/>
              <w:right w:w="120" w:type="dxa"/>
            </w:tcMar>
          </w:tcPr>
          <w:p w14:paraId="7A546163" w14:textId="4D277F9B" w:rsidR="00FC20A7" w:rsidRDefault="00FC20A7" w:rsidP="00741D20">
            <w:pPr>
              <w:spacing w:after="60" w:line="260" w:lineRule="auto"/>
              <w:rPr>
                <w:sz w:val="20"/>
                <w:szCs w:val="20"/>
              </w:rPr>
            </w:pPr>
          </w:p>
        </w:tc>
        <w:tc>
          <w:tcPr>
            <w:tcW w:w="876" w:type="pct"/>
            <w:tcBorders>
              <w:top w:val="single" w:sz="4" w:space="0" w:color="BFBFBF"/>
              <w:left w:val="single" w:sz="4" w:space="0" w:color="BFBFBF"/>
              <w:bottom w:val="single" w:sz="4" w:space="0" w:color="BFBFBF"/>
              <w:right w:val="single" w:sz="4" w:space="0" w:color="BFBFBF"/>
            </w:tcBorders>
            <w:tcMar>
              <w:top w:w="100" w:type="dxa"/>
              <w:left w:w="120" w:type="dxa"/>
              <w:bottom w:w="100" w:type="dxa"/>
              <w:right w:w="120" w:type="dxa"/>
            </w:tcMar>
          </w:tcPr>
          <w:p w14:paraId="122901F0" w14:textId="7F573ABE" w:rsidR="00FC20A7" w:rsidRDefault="00FC20A7" w:rsidP="00741D20">
            <w:pPr>
              <w:spacing w:after="60" w:line="260" w:lineRule="auto"/>
              <w:rPr>
                <w:sz w:val="20"/>
                <w:szCs w:val="20"/>
              </w:rPr>
            </w:pPr>
            <w:r>
              <w:rPr>
                <w:sz w:val="20"/>
                <w:szCs w:val="20"/>
              </w:rPr>
              <w:t>Seven years, or for the duration of any period of incarceration</w:t>
            </w:r>
          </w:p>
        </w:tc>
        <w:tc>
          <w:tcPr>
            <w:tcW w:w="1740" w:type="pct"/>
            <w:tcBorders>
              <w:top w:val="single" w:sz="4" w:space="0" w:color="BFBFBF"/>
              <w:left w:val="single" w:sz="4" w:space="0" w:color="BFBFBF"/>
              <w:bottom w:val="single" w:sz="4" w:space="0" w:color="BFBFBF"/>
              <w:right w:val="single" w:sz="4" w:space="0" w:color="BFBFBF"/>
            </w:tcBorders>
            <w:tcMar>
              <w:top w:w="100" w:type="dxa"/>
              <w:left w:w="120" w:type="dxa"/>
              <w:bottom w:w="100" w:type="dxa"/>
              <w:right w:w="120" w:type="dxa"/>
            </w:tcMar>
          </w:tcPr>
          <w:p w14:paraId="4A3C081D" w14:textId="77777777" w:rsidR="00FC20A7" w:rsidRDefault="00FC20A7" w:rsidP="00741D20">
            <w:pPr>
              <w:spacing w:after="60" w:line="260" w:lineRule="auto"/>
              <w:rPr>
                <w:sz w:val="20"/>
                <w:szCs w:val="20"/>
              </w:rPr>
            </w:pPr>
          </w:p>
        </w:tc>
      </w:tr>
      <w:tr w:rsidR="00FC20A7" w14:paraId="4DED6AF9" w14:textId="77777777" w:rsidTr="00FC20A7">
        <w:tc>
          <w:tcPr>
            <w:tcW w:w="1000" w:type="pct"/>
            <w:tcBorders>
              <w:top w:val="single" w:sz="4" w:space="0" w:color="BFBFBF"/>
              <w:left w:val="single" w:sz="4" w:space="0" w:color="BFBFBF"/>
              <w:bottom w:val="single" w:sz="4" w:space="0" w:color="BFBFBF"/>
              <w:right w:val="single" w:sz="4" w:space="0" w:color="BFBFBF"/>
            </w:tcBorders>
            <w:tcMar>
              <w:top w:w="100" w:type="dxa"/>
              <w:left w:w="120" w:type="dxa"/>
              <w:bottom w:w="100" w:type="dxa"/>
              <w:right w:w="120" w:type="dxa"/>
            </w:tcMar>
          </w:tcPr>
          <w:p w14:paraId="4629DBB1" w14:textId="49503D68" w:rsidR="00FC20A7" w:rsidRDefault="00FC20A7" w:rsidP="00741D20">
            <w:pPr>
              <w:spacing w:after="60" w:line="260" w:lineRule="auto"/>
              <w:rPr>
                <w:sz w:val="20"/>
                <w:szCs w:val="20"/>
              </w:rPr>
            </w:pPr>
            <w:r>
              <w:rPr>
                <w:sz w:val="20"/>
                <w:szCs w:val="20"/>
              </w:rPr>
              <w:t>Files – children</w:t>
            </w:r>
          </w:p>
        </w:tc>
        <w:tc>
          <w:tcPr>
            <w:tcW w:w="1384" w:type="pct"/>
            <w:tcBorders>
              <w:top w:val="single" w:sz="4" w:space="0" w:color="BFBFBF"/>
              <w:left w:val="single" w:sz="4" w:space="0" w:color="BFBFBF"/>
              <w:bottom w:val="single" w:sz="4" w:space="0" w:color="BFBFBF"/>
              <w:right w:val="single" w:sz="4" w:space="0" w:color="BFBFBF"/>
            </w:tcBorders>
            <w:tcMar>
              <w:top w:w="100" w:type="dxa"/>
              <w:left w:w="120" w:type="dxa"/>
              <w:bottom w:w="100" w:type="dxa"/>
              <w:right w:w="120" w:type="dxa"/>
            </w:tcMar>
          </w:tcPr>
          <w:p w14:paraId="4EDDF668" w14:textId="63861423" w:rsidR="00FC20A7" w:rsidRDefault="00FC20A7" w:rsidP="00741D20">
            <w:pPr>
              <w:spacing w:after="60" w:line="260" w:lineRule="auto"/>
              <w:rPr>
                <w:sz w:val="20"/>
                <w:szCs w:val="20"/>
              </w:rPr>
            </w:pPr>
            <w:r>
              <w:rPr>
                <w:sz w:val="20"/>
                <w:szCs w:val="20"/>
              </w:rPr>
              <w:t>Personal Injury, any matter in which sexual abuse allegations concerning a minor is made</w:t>
            </w:r>
          </w:p>
        </w:tc>
        <w:tc>
          <w:tcPr>
            <w:tcW w:w="876" w:type="pct"/>
            <w:tcBorders>
              <w:top w:val="single" w:sz="4" w:space="0" w:color="BFBFBF"/>
              <w:left w:val="single" w:sz="4" w:space="0" w:color="BFBFBF"/>
              <w:bottom w:val="single" w:sz="4" w:space="0" w:color="BFBFBF"/>
              <w:right w:val="single" w:sz="4" w:space="0" w:color="BFBFBF"/>
            </w:tcBorders>
            <w:tcMar>
              <w:top w:w="100" w:type="dxa"/>
              <w:left w:w="120" w:type="dxa"/>
              <w:bottom w:w="100" w:type="dxa"/>
              <w:right w:w="120" w:type="dxa"/>
            </w:tcMar>
          </w:tcPr>
          <w:p w14:paraId="3442DD35" w14:textId="35444037" w:rsidR="00FC20A7" w:rsidRDefault="00FC20A7" w:rsidP="00741D20">
            <w:pPr>
              <w:spacing w:after="60" w:line="260" w:lineRule="auto"/>
              <w:rPr>
                <w:sz w:val="20"/>
                <w:szCs w:val="20"/>
              </w:rPr>
            </w:pPr>
            <w:r>
              <w:rPr>
                <w:sz w:val="20"/>
                <w:szCs w:val="20"/>
              </w:rPr>
              <w:t>Seven years after date child turns 18</w:t>
            </w:r>
          </w:p>
        </w:tc>
        <w:tc>
          <w:tcPr>
            <w:tcW w:w="1740" w:type="pct"/>
            <w:tcBorders>
              <w:top w:val="single" w:sz="4" w:space="0" w:color="BFBFBF"/>
              <w:left w:val="single" w:sz="4" w:space="0" w:color="BFBFBF"/>
              <w:bottom w:val="single" w:sz="4" w:space="0" w:color="BFBFBF"/>
              <w:right w:val="single" w:sz="4" w:space="0" w:color="BFBFBF"/>
            </w:tcBorders>
            <w:tcMar>
              <w:top w:w="100" w:type="dxa"/>
              <w:left w:w="120" w:type="dxa"/>
              <w:bottom w:w="100" w:type="dxa"/>
              <w:right w:w="120" w:type="dxa"/>
            </w:tcMar>
          </w:tcPr>
          <w:p w14:paraId="042D038A" w14:textId="77777777" w:rsidR="00FC20A7" w:rsidRDefault="00FC20A7" w:rsidP="00741D20">
            <w:pPr>
              <w:spacing w:after="60" w:line="260" w:lineRule="auto"/>
              <w:rPr>
                <w:sz w:val="20"/>
                <w:szCs w:val="20"/>
              </w:rPr>
            </w:pPr>
          </w:p>
        </w:tc>
      </w:tr>
      <w:tr w:rsidR="00FC20A7" w14:paraId="77FB9573" w14:textId="77777777" w:rsidTr="00FC20A7">
        <w:tc>
          <w:tcPr>
            <w:tcW w:w="1000" w:type="pct"/>
            <w:tcBorders>
              <w:top w:val="single" w:sz="4" w:space="0" w:color="BFBFBF"/>
              <w:left w:val="single" w:sz="4" w:space="0" w:color="BFBFBF"/>
              <w:bottom w:val="single" w:sz="4" w:space="0" w:color="BFBFBF"/>
              <w:right w:val="single" w:sz="4" w:space="0" w:color="BFBFBF"/>
            </w:tcBorders>
            <w:tcMar>
              <w:top w:w="100" w:type="dxa"/>
              <w:left w:w="120" w:type="dxa"/>
              <w:bottom w:w="100" w:type="dxa"/>
              <w:right w:w="120" w:type="dxa"/>
            </w:tcMar>
          </w:tcPr>
          <w:p w14:paraId="0EC515CF" w14:textId="05957C3B" w:rsidR="00FC20A7" w:rsidRDefault="00FC20A7" w:rsidP="00741D20">
            <w:pPr>
              <w:spacing w:after="60" w:line="260" w:lineRule="auto"/>
              <w:rPr>
                <w:sz w:val="20"/>
                <w:szCs w:val="20"/>
              </w:rPr>
            </w:pPr>
            <w:r>
              <w:rPr>
                <w:sz w:val="20"/>
                <w:szCs w:val="20"/>
              </w:rPr>
              <w:t>Family law</w:t>
            </w:r>
          </w:p>
        </w:tc>
        <w:tc>
          <w:tcPr>
            <w:tcW w:w="1384" w:type="pct"/>
            <w:tcBorders>
              <w:top w:val="single" w:sz="4" w:space="0" w:color="BFBFBF"/>
              <w:left w:val="single" w:sz="4" w:space="0" w:color="BFBFBF"/>
              <w:bottom w:val="single" w:sz="4" w:space="0" w:color="BFBFBF"/>
              <w:right w:val="single" w:sz="4" w:space="0" w:color="BFBFBF"/>
            </w:tcBorders>
            <w:tcMar>
              <w:top w:w="100" w:type="dxa"/>
              <w:left w:w="120" w:type="dxa"/>
              <w:bottom w:w="100" w:type="dxa"/>
              <w:right w:w="120" w:type="dxa"/>
            </w:tcMar>
          </w:tcPr>
          <w:p w14:paraId="39E26BF5" w14:textId="77777777" w:rsidR="00FC20A7" w:rsidRDefault="00FC20A7" w:rsidP="00741D20">
            <w:pPr>
              <w:spacing w:after="60" w:line="260" w:lineRule="auto"/>
              <w:rPr>
                <w:sz w:val="20"/>
                <w:szCs w:val="20"/>
              </w:rPr>
            </w:pPr>
          </w:p>
        </w:tc>
        <w:tc>
          <w:tcPr>
            <w:tcW w:w="876" w:type="pct"/>
            <w:tcBorders>
              <w:top w:val="single" w:sz="4" w:space="0" w:color="BFBFBF"/>
              <w:left w:val="single" w:sz="4" w:space="0" w:color="BFBFBF"/>
              <w:bottom w:val="single" w:sz="4" w:space="0" w:color="BFBFBF"/>
              <w:right w:val="single" w:sz="4" w:space="0" w:color="BFBFBF"/>
            </w:tcBorders>
            <w:tcMar>
              <w:top w:w="100" w:type="dxa"/>
              <w:left w:w="120" w:type="dxa"/>
              <w:bottom w:w="100" w:type="dxa"/>
              <w:right w:w="120" w:type="dxa"/>
            </w:tcMar>
          </w:tcPr>
          <w:p w14:paraId="3E5473F7" w14:textId="0DA58B50" w:rsidR="00FC20A7" w:rsidRDefault="00FC20A7" w:rsidP="00741D20">
            <w:pPr>
              <w:spacing w:after="60" w:line="260" w:lineRule="auto"/>
              <w:rPr>
                <w:sz w:val="20"/>
                <w:szCs w:val="20"/>
              </w:rPr>
            </w:pPr>
            <w:r>
              <w:rPr>
                <w:sz w:val="20"/>
                <w:szCs w:val="20"/>
              </w:rPr>
              <w:t>7 years</w:t>
            </w:r>
          </w:p>
        </w:tc>
        <w:tc>
          <w:tcPr>
            <w:tcW w:w="1740" w:type="pct"/>
            <w:tcBorders>
              <w:top w:val="single" w:sz="4" w:space="0" w:color="BFBFBF"/>
              <w:left w:val="single" w:sz="4" w:space="0" w:color="BFBFBF"/>
              <w:bottom w:val="single" w:sz="4" w:space="0" w:color="BFBFBF"/>
              <w:right w:val="single" w:sz="4" w:space="0" w:color="BFBFBF"/>
            </w:tcBorders>
            <w:tcMar>
              <w:top w:w="100" w:type="dxa"/>
              <w:left w:w="120" w:type="dxa"/>
              <w:bottom w:w="100" w:type="dxa"/>
              <w:right w:w="120" w:type="dxa"/>
            </w:tcMar>
          </w:tcPr>
          <w:p w14:paraId="48F19C07" w14:textId="77777777" w:rsidR="00FC20A7" w:rsidRDefault="00FC20A7" w:rsidP="00741D20">
            <w:pPr>
              <w:spacing w:after="60" w:line="260" w:lineRule="auto"/>
              <w:rPr>
                <w:sz w:val="20"/>
                <w:szCs w:val="20"/>
              </w:rPr>
            </w:pPr>
          </w:p>
        </w:tc>
      </w:tr>
      <w:tr w:rsidR="00FC20A7" w14:paraId="5EFFDBE1" w14:textId="77777777" w:rsidTr="00FC20A7">
        <w:tc>
          <w:tcPr>
            <w:tcW w:w="1000" w:type="pct"/>
            <w:tcBorders>
              <w:top w:val="single" w:sz="4" w:space="0" w:color="BFBFBF"/>
              <w:left w:val="single" w:sz="4" w:space="0" w:color="BFBFBF"/>
              <w:bottom w:val="single" w:sz="4" w:space="0" w:color="BFBFBF"/>
              <w:right w:val="single" w:sz="4" w:space="0" w:color="BFBFBF"/>
            </w:tcBorders>
            <w:tcMar>
              <w:top w:w="100" w:type="dxa"/>
              <w:left w:w="120" w:type="dxa"/>
              <w:bottom w:w="100" w:type="dxa"/>
              <w:right w:w="120" w:type="dxa"/>
            </w:tcMar>
          </w:tcPr>
          <w:p w14:paraId="376CF5DF" w14:textId="56A6451F" w:rsidR="00FC20A7" w:rsidRDefault="00FC20A7" w:rsidP="00741D20">
            <w:pPr>
              <w:spacing w:after="60" w:line="260" w:lineRule="auto"/>
              <w:rPr>
                <w:sz w:val="20"/>
                <w:szCs w:val="20"/>
              </w:rPr>
            </w:pPr>
            <w:r>
              <w:rPr>
                <w:sz w:val="20"/>
                <w:szCs w:val="20"/>
              </w:rPr>
              <w:lastRenderedPageBreak/>
              <w:t>Conveyancing</w:t>
            </w:r>
          </w:p>
        </w:tc>
        <w:tc>
          <w:tcPr>
            <w:tcW w:w="1384" w:type="pct"/>
            <w:tcBorders>
              <w:top w:val="single" w:sz="4" w:space="0" w:color="BFBFBF"/>
              <w:left w:val="single" w:sz="4" w:space="0" w:color="BFBFBF"/>
              <w:bottom w:val="single" w:sz="4" w:space="0" w:color="BFBFBF"/>
              <w:right w:val="single" w:sz="4" w:space="0" w:color="BFBFBF"/>
            </w:tcBorders>
            <w:tcMar>
              <w:top w:w="100" w:type="dxa"/>
              <w:left w:w="120" w:type="dxa"/>
              <w:bottom w:w="100" w:type="dxa"/>
              <w:right w:w="120" w:type="dxa"/>
            </w:tcMar>
          </w:tcPr>
          <w:p w14:paraId="6A21410E" w14:textId="77777777" w:rsidR="00FC20A7" w:rsidRDefault="00FC20A7" w:rsidP="00741D20">
            <w:pPr>
              <w:spacing w:after="60" w:line="260" w:lineRule="auto"/>
              <w:rPr>
                <w:sz w:val="20"/>
                <w:szCs w:val="20"/>
              </w:rPr>
            </w:pPr>
          </w:p>
        </w:tc>
        <w:tc>
          <w:tcPr>
            <w:tcW w:w="876" w:type="pct"/>
            <w:tcBorders>
              <w:top w:val="single" w:sz="4" w:space="0" w:color="BFBFBF"/>
              <w:left w:val="single" w:sz="4" w:space="0" w:color="BFBFBF"/>
              <w:bottom w:val="single" w:sz="4" w:space="0" w:color="BFBFBF"/>
              <w:right w:val="single" w:sz="4" w:space="0" w:color="BFBFBF"/>
            </w:tcBorders>
            <w:tcMar>
              <w:top w:w="100" w:type="dxa"/>
              <w:left w:w="120" w:type="dxa"/>
              <w:bottom w:w="100" w:type="dxa"/>
              <w:right w:w="120" w:type="dxa"/>
            </w:tcMar>
          </w:tcPr>
          <w:p w14:paraId="18C99626" w14:textId="7F6871CD" w:rsidR="00FC20A7" w:rsidRDefault="00FC20A7" w:rsidP="00741D20">
            <w:pPr>
              <w:spacing w:after="60" w:line="260" w:lineRule="auto"/>
              <w:rPr>
                <w:sz w:val="20"/>
                <w:szCs w:val="20"/>
              </w:rPr>
            </w:pPr>
            <w:r>
              <w:rPr>
                <w:sz w:val="20"/>
                <w:szCs w:val="20"/>
              </w:rPr>
              <w:t>7 years</w:t>
            </w:r>
          </w:p>
        </w:tc>
        <w:tc>
          <w:tcPr>
            <w:tcW w:w="1740" w:type="pct"/>
            <w:tcBorders>
              <w:top w:val="single" w:sz="4" w:space="0" w:color="BFBFBF"/>
              <w:left w:val="single" w:sz="4" w:space="0" w:color="BFBFBF"/>
              <w:bottom w:val="single" w:sz="4" w:space="0" w:color="BFBFBF"/>
              <w:right w:val="single" w:sz="4" w:space="0" w:color="BFBFBF"/>
            </w:tcBorders>
            <w:tcMar>
              <w:top w:w="100" w:type="dxa"/>
              <w:left w:w="120" w:type="dxa"/>
              <w:bottom w:w="100" w:type="dxa"/>
              <w:right w:w="120" w:type="dxa"/>
            </w:tcMar>
          </w:tcPr>
          <w:p w14:paraId="0891DE0A" w14:textId="5DFA6423" w:rsidR="00FC20A7" w:rsidRDefault="00FC20A7" w:rsidP="00741D20">
            <w:pPr>
              <w:spacing w:after="60" w:line="260" w:lineRule="auto"/>
              <w:rPr>
                <w:sz w:val="20"/>
                <w:szCs w:val="20"/>
              </w:rPr>
            </w:pPr>
            <w:r>
              <w:rPr>
                <w:sz w:val="20"/>
                <w:szCs w:val="20"/>
              </w:rPr>
              <w:t>Note that ID records may need to be kept longer if customer relationship extends beyond one matter.</w:t>
            </w:r>
          </w:p>
        </w:tc>
      </w:tr>
    </w:tbl>
    <w:p w14:paraId="4B546DC6" w14:textId="77777777" w:rsidR="00865E2B" w:rsidRDefault="00865E2B">
      <w:pPr>
        <w:spacing w:after="120" w:line="300" w:lineRule="auto"/>
      </w:pPr>
    </w:p>
    <w:sectPr w:rsidR="00865E2B" w:rsidSect="00870991">
      <w:pgSz w:w="16838" w:h="11906" w:orient="landscape"/>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4D850" w14:textId="77777777" w:rsidR="00B623D8" w:rsidRDefault="00B623D8">
      <w:r>
        <w:separator/>
      </w:r>
    </w:p>
  </w:endnote>
  <w:endnote w:type="continuationSeparator" w:id="0">
    <w:p w14:paraId="573C1761" w14:textId="77777777" w:rsidR="00B623D8" w:rsidRDefault="00B62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B08D0" w14:textId="77777777" w:rsidR="00865E2B" w:rsidRDefault="001759CD">
    <w:pPr>
      <w:jc w:val="right"/>
    </w:pPr>
    <w:r>
      <w:rPr>
        <w:color w:val="777777"/>
        <w:sz w:val="16"/>
        <w:szCs w:val="16"/>
      </w:rPr>
      <w:t xml:space="preserve">Page </w:t>
    </w:r>
    <w:r>
      <w:rPr>
        <w:color w:val="777777"/>
        <w:sz w:val="16"/>
        <w:szCs w:val="16"/>
      </w:rPr>
      <w:fldChar w:fldCharType="begin"/>
    </w:r>
    <w:r>
      <w:rPr>
        <w:color w:val="777777"/>
        <w:sz w:val="16"/>
        <w:szCs w:val="16"/>
      </w:rPr>
      <w:instrText>PAGE</w:instrText>
    </w:r>
    <w:r>
      <w:rPr>
        <w:color w:val="777777"/>
        <w:sz w:val="16"/>
        <w:szCs w:val="16"/>
      </w:rPr>
      <w:fldChar w:fldCharType="separate"/>
    </w:r>
    <w:r w:rsidR="00C31644">
      <w:rPr>
        <w:noProof/>
        <w:color w:val="777777"/>
        <w:sz w:val="16"/>
        <w:szCs w:val="16"/>
      </w:rPr>
      <w:t>1</w:t>
    </w:r>
    <w:r>
      <w:rPr>
        <w:color w:val="777777"/>
        <w:sz w:val="16"/>
        <w:szCs w:val="16"/>
      </w:rPr>
      <w:fldChar w:fldCharType="end"/>
    </w:r>
    <w:r>
      <w:rPr>
        <w:color w:val="777777"/>
        <w:sz w:val="16"/>
        <w:szCs w:val="16"/>
      </w:rPr>
      <w:t xml:space="preserve"> of </w:t>
    </w:r>
    <w:r>
      <w:rPr>
        <w:color w:val="777777"/>
        <w:sz w:val="16"/>
        <w:szCs w:val="16"/>
      </w:rPr>
      <w:fldChar w:fldCharType="begin"/>
    </w:r>
    <w:r>
      <w:rPr>
        <w:color w:val="777777"/>
        <w:sz w:val="16"/>
        <w:szCs w:val="16"/>
      </w:rPr>
      <w:instrText>NUMPAGES</w:instrText>
    </w:r>
    <w:r>
      <w:rPr>
        <w:color w:val="777777"/>
        <w:sz w:val="16"/>
        <w:szCs w:val="16"/>
      </w:rPr>
      <w:fldChar w:fldCharType="separate"/>
    </w:r>
    <w:r w:rsidR="00C31644">
      <w:rPr>
        <w:noProof/>
        <w:color w:val="777777"/>
        <w:sz w:val="16"/>
        <w:szCs w:val="16"/>
      </w:rPr>
      <w:t>2</w:t>
    </w:r>
    <w:r>
      <w:rPr>
        <w:color w:val="777777"/>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6B855" w14:textId="77777777" w:rsidR="00B623D8" w:rsidRDefault="00B623D8">
      <w:r>
        <w:separator/>
      </w:r>
    </w:p>
  </w:footnote>
  <w:footnote w:type="continuationSeparator" w:id="0">
    <w:p w14:paraId="4E9DCFB5" w14:textId="77777777" w:rsidR="00B623D8" w:rsidRDefault="00B623D8">
      <w:r>
        <w:continuationSeparator/>
      </w:r>
    </w:p>
  </w:footnote>
  <w:footnote w:id="1">
    <w:p w14:paraId="44A8B6D1" w14:textId="06CA9381" w:rsidR="00865E2B" w:rsidRPr="00CA255B" w:rsidRDefault="001759CD">
      <w:pPr>
        <w:spacing w:after="60"/>
        <w:rPr>
          <w:sz w:val="18"/>
          <w:szCs w:val="18"/>
        </w:rPr>
      </w:pPr>
      <w:r w:rsidRPr="00CA255B">
        <w:rPr>
          <w:rStyle w:val="FootnoteReference"/>
          <w:sz w:val="18"/>
          <w:szCs w:val="18"/>
        </w:rPr>
        <w:footnoteRef/>
      </w:r>
      <w:r w:rsidRPr="00CA255B">
        <w:rPr>
          <w:i/>
          <w:iCs/>
          <w:sz w:val="18"/>
          <w:szCs w:val="18"/>
        </w:rPr>
        <w:t>Legal Profession Act 2007</w:t>
      </w:r>
      <w:r w:rsidRPr="00CA255B">
        <w:rPr>
          <w:sz w:val="18"/>
          <w:szCs w:val="18"/>
        </w:rPr>
        <w:t xml:space="preserve"> (Qld) s 713A. See also </w:t>
      </w:r>
      <w:r w:rsidR="004665F1" w:rsidRPr="00CA255B">
        <w:rPr>
          <w:sz w:val="18"/>
          <w:szCs w:val="18"/>
        </w:rPr>
        <w:t>Melissa Seiler</w:t>
      </w:r>
      <w:r w:rsidRPr="00CA255B">
        <w:rPr>
          <w:sz w:val="18"/>
          <w:szCs w:val="18"/>
        </w:rPr>
        <w:t xml:space="preserve">, ‘New laws deliver significant admin changes for firms’, </w:t>
      </w:r>
      <w:r w:rsidRPr="00CA255B">
        <w:rPr>
          <w:i/>
          <w:iCs/>
          <w:sz w:val="18"/>
          <w:szCs w:val="18"/>
        </w:rPr>
        <w:t>QLS Proctor</w:t>
      </w:r>
      <w:r w:rsidRPr="00CA255B">
        <w:rPr>
          <w:sz w:val="18"/>
          <w:szCs w:val="18"/>
        </w:rPr>
        <w:t xml:space="preserve"> (15 September 2023) </w:t>
      </w:r>
      <w:r w:rsidR="004665F1" w:rsidRPr="00CA255B">
        <w:rPr>
          <w:sz w:val="18"/>
          <w:szCs w:val="18"/>
        </w:rPr>
        <w:t>&lt;</w:t>
      </w:r>
      <w:hyperlink r:id="rId1" w:history="1">
        <w:r w:rsidR="004665F1" w:rsidRPr="00CA255B">
          <w:rPr>
            <w:rStyle w:val="Hyperlink"/>
            <w:sz w:val="18"/>
            <w:szCs w:val="18"/>
          </w:rPr>
          <w:t>https://www.qlsproctor.com.au/2023/09/new-laws-deliver-significant-admin-changes-for-firms/</w:t>
        </w:r>
      </w:hyperlink>
      <w:r w:rsidR="004665F1" w:rsidRPr="00CA255B">
        <w:rPr>
          <w:sz w:val="18"/>
          <w:szCs w:val="18"/>
        </w:rPr>
        <w:t>&gt;.</w:t>
      </w:r>
    </w:p>
  </w:footnote>
  <w:footnote w:id="2">
    <w:p w14:paraId="177A3BD5" w14:textId="3BAF292E" w:rsidR="00865E2B" w:rsidRPr="00CA255B" w:rsidRDefault="001759CD">
      <w:pPr>
        <w:spacing w:after="60"/>
        <w:rPr>
          <w:sz w:val="18"/>
          <w:szCs w:val="18"/>
        </w:rPr>
      </w:pPr>
      <w:r w:rsidRPr="00CA255B">
        <w:rPr>
          <w:rStyle w:val="FootnoteReference"/>
          <w:sz w:val="18"/>
          <w:szCs w:val="18"/>
        </w:rPr>
        <w:footnoteRef/>
      </w:r>
      <w:r w:rsidRPr="00CA255B">
        <w:rPr>
          <w:i/>
          <w:iCs/>
          <w:sz w:val="18"/>
          <w:szCs w:val="18"/>
        </w:rPr>
        <w:t>Legal Profession Regulation 2017</w:t>
      </w:r>
      <w:r w:rsidRPr="00CA255B">
        <w:rPr>
          <w:sz w:val="18"/>
          <w:szCs w:val="18"/>
        </w:rPr>
        <w:t xml:space="preserve"> (Qld) ss 36, 49. The Regulation prescribes the form and retention of trust records by Queensland law practices. See also </w:t>
      </w:r>
      <w:r w:rsidR="004665F1" w:rsidRPr="00CA255B">
        <w:rPr>
          <w:sz w:val="18"/>
          <w:szCs w:val="18"/>
        </w:rPr>
        <w:t>&lt;</w:t>
      </w:r>
      <w:hyperlink r:id="rId2" w:history="1">
        <w:r w:rsidR="004665F1" w:rsidRPr="00CA255B">
          <w:rPr>
            <w:rStyle w:val="Hyperlink"/>
            <w:sz w:val="18"/>
            <w:szCs w:val="18"/>
          </w:rPr>
          <w:t>https://www.legislation.qld.gov.au/view/whole/html/inforce/current/sl-2017-0174</w:t>
        </w:r>
      </w:hyperlink>
      <w:r w:rsidR="004665F1" w:rsidRPr="00CA255B">
        <w:rPr>
          <w:sz w:val="18"/>
          <w:szCs w:val="18"/>
        </w:rPr>
        <w:t>&gt;</w:t>
      </w:r>
      <w:r w:rsidRPr="00CA255B">
        <w:rPr>
          <w:sz w:val="18"/>
          <w:szCs w:val="18"/>
        </w:rPr>
        <w:t>.</w:t>
      </w:r>
    </w:p>
  </w:footnote>
  <w:footnote w:id="3">
    <w:p w14:paraId="47560DEE" w14:textId="459F9961" w:rsidR="00865E2B" w:rsidRPr="00CA255B" w:rsidRDefault="001759CD">
      <w:pPr>
        <w:spacing w:after="60"/>
        <w:rPr>
          <w:sz w:val="18"/>
          <w:szCs w:val="18"/>
        </w:rPr>
      </w:pPr>
      <w:r w:rsidRPr="00CA255B">
        <w:rPr>
          <w:rStyle w:val="FootnoteReference"/>
          <w:sz w:val="18"/>
          <w:szCs w:val="18"/>
        </w:rPr>
        <w:footnoteRef/>
      </w:r>
      <w:r w:rsidRPr="00CA255B">
        <w:rPr>
          <w:i/>
          <w:iCs/>
          <w:sz w:val="18"/>
          <w:szCs w:val="18"/>
        </w:rPr>
        <w:t>Anti-Money Laundering and Counter-Terrorism Financing Act 2006</w:t>
      </w:r>
      <w:r w:rsidRPr="00CA255B">
        <w:rPr>
          <w:sz w:val="18"/>
          <w:szCs w:val="18"/>
        </w:rPr>
        <w:t xml:space="preserve"> (</w:t>
      </w:r>
      <w:r w:rsidRPr="00CA255B">
        <w:rPr>
          <w:sz w:val="18"/>
          <w:szCs w:val="18"/>
        </w:rPr>
        <w:t xml:space="preserve">Cth) </w:t>
      </w:r>
      <w:r w:rsidR="008745AE" w:rsidRPr="00CA255B">
        <w:rPr>
          <w:sz w:val="18"/>
          <w:szCs w:val="18"/>
        </w:rPr>
        <w:t>(‘AML/CTF</w:t>
      </w:r>
      <w:r w:rsidR="008745AE" w:rsidRPr="00CA255B">
        <w:rPr>
          <w:i/>
          <w:iCs/>
          <w:sz w:val="18"/>
          <w:szCs w:val="18"/>
        </w:rPr>
        <w:t xml:space="preserve"> </w:t>
      </w:r>
      <w:r w:rsidR="008745AE" w:rsidRPr="00CA255B">
        <w:rPr>
          <w:sz w:val="18"/>
          <w:szCs w:val="18"/>
        </w:rPr>
        <w:t xml:space="preserve">Act’) </w:t>
      </w:r>
      <w:r w:rsidRPr="00CA255B">
        <w:rPr>
          <w:sz w:val="18"/>
          <w:szCs w:val="18"/>
        </w:rPr>
        <w:t>ss 107, 111, 114, 114A (record-keeping obligations; retention period of seven years).</w:t>
      </w:r>
    </w:p>
  </w:footnote>
  <w:footnote w:id="4">
    <w:p w14:paraId="4B613C1A" w14:textId="248962C1" w:rsidR="00865E2B" w:rsidRPr="00CA255B" w:rsidRDefault="001759CD">
      <w:pPr>
        <w:spacing w:after="60"/>
        <w:rPr>
          <w:sz w:val="18"/>
          <w:szCs w:val="18"/>
        </w:rPr>
      </w:pPr>
      <w:r w:rsidRPr="00CA255B">
        <w:rPr>
          <w:rStyle w:val="FootnoteReference"/>
          <w:sz w:val="18"/>
          <w:szCs w:val="18"/>
        </w:rPr>
        <w:footnoteRef/>
      </w:r>
      <w:r w:rsidRPr="00CA255B">
        <w:rPr>
          <w:i/>
          <w:iCs/>
          <w:sz w:val="18"/>
          <w:szCs w:val="18"/>
        </w:rPr>
        <w:t>Privacy Act</w:t>
      </w:r>
      <w:r w:rsidRPr="00CA255B">
        <w:rPr>
          <w:sz w:val="18"/>
          <w:szCs w:val="18"/>
        </w:rPr>
        <w:t xml:space="preserve"> </w:t>
      </w:r>
      <w:r w:rsidRPr="00CA255B">
        <w:rPr>
          <w:i/>
          <w:iCs/>
          <w:sz w:val="18"/>
          <w:szCs w:val="18"/>
        </w:rPr>
        <w:t>1988</w:t>
      </w:r>
      <w:r w:rsidRPr="00CA255B">
        <w:rPr>
          <w:sz w:val="18"/>
          <w:szCs w:val="18"/>
        </w:rPr>
        <w:t xml:space="preserve"> (</w:t>
      </w:r>
      <w:r w:rsidRPr="00CA255B">
        <w:rPr>
          <w:sz w:val="18"/>
          <w:szCs w:val="18"/>
        </w:rPr>
        <w:t>Cth) sch 1</w:t>
      </w:r>
      <w:r w:rsidR="004665F1" w:rsidRPr="00CA255B">
        <w:rPr>
          <w:sz w:val="18"/>
          <w:szCs w:val="18"/>
        </w:rPr>
        <w:t>;</w:t>
      </w:r>
      <w:r w:rsidRPr="00CA255B">
        <w:rPr>
          <w:sz w:val="18"/>
          <w:szCs w:val="18"/>
        </w:rPr>
        <w:t xml:space="preserve"> Australian Privacy Principle 11.2; Office of the Australian Information Commissioner, </w:t>
      </w:r>
      <w:r w:rsidRPr="00CA255B">
        <w:rPr>
          <w:i/>
          <w:iCs/>
          <w:sz w:val="18"/>
          <w:szCs w:val="18"/>
        </w:rPr>
        <w:t>Chapter 11: APP 11 — Security of personal information</w:t>
      </w:r>
      <w:r w:rsidRPr="00CA255B">
        <w:rPr>
          <w:sz w:val="18"/>
          <w:szCs w:val="18"/>
        </w:rPr>
        <w:t xml:space="preserve"> </w:t>
      </w:r>
      <w:r w:rsidR="004665F1" w:rsidRPr="00CA255B">
        <w:rPr>
          <w:sz w:val="18"/>
          <w:szCs w:val="18"/>
        </w:rPr>
        <w:t>(Web Page, updated 3 October 2025) &lt;</w:t>
      </w:r>
      <w:hyperlink r:id="rId3" w:history="1">
        <w:r w:rsidR="004665F1" w:rsidRPr="00CA255B">
          <w:rPr>
            <w:rStyle w:val="Hyperlink"/>
            <w:sz w:val="18"/>
            <w:szCs w:val="18"/>
          </w:rPr>
          <w:t>https://www.oaic.gov.au/privacy/australian-privacy-principles/australian-privacy-principles-guidelines/chapter-11-app-11-security-of-personal-information</w:t>
        </w:r>
      </w:hyperlink>
      <w:r w:rsidR="004665F1" w:rsidRPr="00CA255B">
        <w:rPr>
          <w:sz w:val="18"/>
          <w:szCs w:val="18"/>
        </w:rPr>
        <w:t>&gt;</w:t>
      </w:r>
      <w:r w:rsidRPr="00CA255B">
        <w:rPr>
          <w:sz w:val="18"/>
          <w:szCs w:val="18"/>
        </w:rPr>
        <w:t>.</w:t>
      </w:r>
    </w:p>
  </w:footnote>
  <w:footnote w:id="5">
    <w:p w14:paraId="6C4B86B6" w14:textId="77777777" w:rsidR="00865E2B" w:rsidRPr="00CA255B" w:rsidRDefault="001759CD">
      <w:pPr>
        <w:spacing w:after="60"/>
        <w:rPr>
          <w:sz w:val="18"/>
          <w:szCs w:val="18"/>
        </w:rPr>
      </w:pPr>
      <w:r w:rsidRPr="00CA255B">
        <w:rPr>
          <w:rStyle w:val="FootnoteReference"/>
          <w:sz w:val="18"/>
          <w:szCs w:val="18"/>
        </w:rPr>
        <w:footnoteRef/>
      </w:r>
      <w:r w:rsidRPr="00CA255B">
        <w:rPr>
          <w:i/>
          <w:iCs/>
          <w:sz w:val="18"/>
          <w:szCs w:val="18"/>
        </w:rPr>
        <w:t>Fair Work Act 2009</w:t>
      </w:r>
      <w:r w:rsidRPr="00CA255B">
        <w:rPr>
          <w:sz w:val="18"/>
          <w:szCs w:val="18"/>
        </w:rPr>
        <w:t xml:space="preserve"> (</w:t>
      </w:r>
      <w:r w:rsidRPr="00CA255B">
        <w:rPr>
          <w:sz w:val="18"/>
          <w:szCs w:val="18"/>
        </w:rPr>
        <w:t xml:space="preserve">Cth) ss 535–536; </w:t>
      </w:r>
      <w:r w:rsidRPr="00CA255B">
        <w:rPr>
          <w:i/>
          <w:iCs/>
          <w:sz w:val="18"/>
          <w:szCs w:val="18"/>
        </w:rPr>
        <w:t>Fair Work Regulations 2009</w:t>
      </w:r>
      <w:r w:rsidRPr="00CA255B">
        <w:rPr>
          <w:sz w:val="18"/>
          <w:szCs w:val="18"/>
        </w:rPr>
        <w:t xml:space="preserve"> (Cth) reg 3.31 et seq.</w:t>
      </w:r>
    </w:p>
  </w:footnote>
  <w:footnote w:id="6">
    <w:p w14:paraId="287BE915" w14:textId="27770A5B" w:rsidR="00865E2B" w:rsidRPr="00CA255B" w:rsidRDefault="001759CD">
      <w:pPr>
        <w:spacing w:after="60"/>
        <w:rPr>
          <w:sz w:val="18"/>
          <w:szCs w:val="18"/>
        </w:rPr>
      </w:pPr>
      <w:r w:rsidRPr="00CA255B">
        <w:rPr>
          <w:rStyle w:val="FootnoteReference"/>
          <w:sz w:val="18"/>
          <w:szCs w:val="18"/>
        </w:rPr>
        <w:footnoteRef/>
      </w:r>
      <w:r w:rsidRPr="00CA255B">
        <w:rPr>
          <w:i/>
          <w:iCs/>
          <w:sz w:val="18"/>
          <w:szCs w:val="18"/>
        </w:rPr>
        <w:t>Corporations Act 2001</w:t>
      </w:r>
      <w:r w:rsidRPr="00CA255B">
        <w:rPr>
          <w:sz w:val="18"/>
          <w:szCs w:val="18"/>
        </w:rPr>
        <w:t xml:space="preserve"> (</w:t>
      </w:r>
      <w:r w:rsidRPr="00CA255B">
        <w:rPr>
          <w:sz w:val="18"/>
          <w:szCs w:val="18"/>
        </w:rPr>
        <w:t xml:space="preserve">Cth) s 286 (financial records to be retained for at least seven years). See also Australian Securities and Investments Commission, </w:t>
      </w:r>
      <w:r w:rsidRPr="00CA255B">
        <w:rPr>
          <w:i/>
          <w:iCs/>
          <w:sz w:val="18"/>
          <w:szCs w:val="18"/>
        </w:rPr>
        <w:t>Company record keeping</w:t>
      </w:r>
      <w:r w:rsidRPr="00CA255B">
        <w:rPr>
          <w:sz w:val="18"/>
          <w:szCs w:val="18"/>
        </w:rPr>
        <w:t xml:space="preserve"> </w:t>
      </w:r>
      <w:r w:rsidR="004665F1" w:rsidRPr="00CA255B">
        <w:rPr>
          <w:sz w:val="18"/>
          <w:szCs w:val="18"/>
        </w:rPr>
        <w:t>&lt;</w:t>
      </w:r>
      <w:hyperlink r:id="rId4" w:history="1">
        <w:r w:rsidR="004665F1" w:rsidRPr="00CA255B">
          <w:rPr>
            <w:rStyle w:val="Hyperlink"/>
            <w:sz w:val="18"/>
            <w:szCs w:val="18"/>
          </w:rPr>
          <w:t>https://www.asic.gov.au/for-business-and-companies/companies/company-building-blocks/company-record-keeping/</w:t>
        </w:r>
      </w:hyperlink>
      <w:r w:rsidR="004665F1" w:rsidRPr="00CA255B">
        <w:rPr>
          <w:sz w:val="18"/>
          <w:szCs w:val="18"/>
        </w:rPr>
        <w:t>&gt;</w:t>
      </w:r>
      <w:r w:rsidRPr="00CA255B">
        <w:rPr>
          <w:sz w:val="18"/>
          <w:szCs w:val="18"/>
        </w:rPr>
        <w:t>.</w:t>
      </w:r>
    </w:p>
  </w:footnote>
  <w:footnote w:id="7">
    <w:p w14:paraId="34A992F0" w14:textId="5F620444" w:rsidR="00865E2B" w:rsidRPr="00CA255B" w:rsidRDefault="001759CD">
      <w:pPr>
        <w:spacing w:after="60"/>
        <w:rPr>
          <w:sz w:val="18"/>
          <w:szCs w:val="18"/>
        </w:rPr>
      </w:pPr>
      <w:r w:rsidRPr="00CA255B">
        <w:rPr>
          <w:rStyle w:val="FootnoteReference"/>
          <w:sz w:val="18"/>
          <w:szCs w:val="18"/>
        </w:rPr>
        <w:footnoteRef/>
      </w:r>
      <w:r w:rsidRPr="00CA255B">
        <w:rPr>
          <w:sz w:val="18"/>
          <w:szCs w:val="18"/>
        </w:rPr>
        <w:t xml:space="preserve">Office of the Australian Information Commissioner, </w:t>
      </w:r>
      <w:r w:rsidRPr="00CA255B">
        <w:rPr>
          <w:i/>
          <w:iCs/>
          <w:sz w:val="18"/>
          <w:szCs w:val="18"/>
        </w:rPr>
        <w:t>Privacy guidance for reporting entities under the Anti-Money Laundering and Counter-Terrorism Financing Act</w:t>
      </w:r>
      <w:r w:rsidRPr="00CA255B">
        <w:rPr>
          <w:sz w:val="18"/>
          <w:szCs w:val="18"/>
        </w:rPr>
        <w:t xml:space="preserve"> (updated February 2026) </w:t>
      </w:r>
      <w:r w:rsidR="004665F1" w:rsidRPr="00CA255B">
        <w:rPr>
          <w:sz w:val="18"/>
          <w:szCs w:val="18"/>
        </w:rPr>
        <w:t>&lt;</w:t>
      </w:r>
      <w:hyperlink r:id="rId5" w:history="1">
        <w:r w:rsidR="004665F1" w:rsidRPr="00CA255B">
          <w:rPr>
            <w:rStyle w:val="Hyperlink"/>
            <w:sz w:val="18"/>
            <w:szCs w:val="18"/>
          </w:rPr>
          <w:t>https://www.oaic.gov.au/privacy/privacy-guidance-for-organisations-and-government-agencies/organisations/privacy-guidance-for-reporting-entities-under-the-anti-money-laundering-and-counter-terrorism-financing-act</w:t>
        </w:r>
      </w:hyperlink>
      <w:r w:rsidR="004665F1" w:rsidRPr="00CA255B">
        <w:rPr>
          <w:sz w:val="18"/>
          <w:szCs w:val="18"/>
        </w:rPr>
        <w:t>&gt;</w:t>
      </w:r>
      <w:r w:rsidRPr="00CA255B">
        <w:rPr>
          <w:sz w:val="18"/>
          <w:szCs w:val="18"/>
        </w:rPr>
        <w:t>. From 31 March 2026 (and from 1 July 2026 for tranche 2 entities), reporting entities should not retain copies of full identification documents for AML/CTF record-keeping purposes</w:t>
      </w:r>
      <w:r w:rsidR="00B35FBA" w:rsidRPr="00CA255B">
        <w:rPr>
          <w:sz w:val="18"/>
          <w:szCs w:val="18"/>
        </w:rPr>
        <w:t xml:space="preserve">: </w:t>
      </w:r>
      <w:r w:rsidR="004665F1" w:rsidRPr="00CA255B">
        <w:rPr>
          <w:sz w:val="18"/>
          <w:szCs w:val="18"/>
        </w:rPr>
        <w:t>b</w:t>
      </w:r>
      <w:r w:rsidR="00B35FBA" w:rsidRPr="00CA255B">
        <w:rPr>
          <w:sz w:val="18"/>
          <w:szCs w:val="18"/>
        </w:rPr>
        <w:t xml:space="preserve">ut see </w:t>
      </w:r>
      <w:r w:rsidR="004665F1" w:rsidRPr="00CA255B">
        <w:rPr>
          <w:sz w:val="18"/>
          <w:szCs w:val="18"/>
        </w:rPr>
        <w:t xml:space="preserve">Titles Queensland, ‘Part 61 – Witnessing and Execution of Instruments or Documents’ </w:t>
      </w:r>
      <w:r w:rsidR="004665F1" w:rsidRPr="00CA255B">
        <w:rPr>
          <w:i/>
          <w:iCs/>
          <w:sz w:val="18"/>
          <w:szCs w:val="18"/>
        </w:rPr>
        <w:t xml:space="preserve">Land Title Practice Manual </w:t>
      </w:r>
      <w:r w:rsidR="004665F1" w:rsidRPr="00CA255B">
        <w:rPr>
          <w:sz w:val="18"/>
          <w:szCs w:val="18"/>
        </w:rPr>
        <w:t>(28 April 2026) &lt;</w:t>
      </w:r>
      <w:hyperlink r:id="rId6" w:history="1">
        <w:r w:rsidR="004665F1" w:rsidRPr="00CA255B">
          <w:rPr>
            <w:rStyle w:val="Hyperlink"/>
            <w:sz w:val="18"/>
            <w:szCs w:val="18"/>
          </w:rPr>
          <w:t>https://www.titlesqld.com.au/wp-content/uploads/2026/04/ltpm-part-61.pdf</w:t>
        </w:r>
      </w:hyperlink>
      <w:r w:rsidR="004665F1" w:rsidRPr="00CA255B">
        <w:rPr>
          <w:sz w:val="18"/>
          <w:szCs w:val="18"/>
        </w:rPr>
        <w:t xml:space="preserve">&gt; </w:t>
      </w:r>
      <w:r w:rsidR="00B35FBA" w:rsidRPr="00CA255B">
        <w:rPr>
          <w:sz w:val="18"/>
          <w:szCs w:val="18"/>
        </w:rPr>
        <w:t>ID retention requirements and ARNECC</w:t>
      </w:r>
      <w:r w:rsidR="008745AE" w:rsidRPr="00CA255B">
        <w:rPr>
          <w:sz w:val="18"/>
          <w:szCs w:val="18"/>
        </w:rPr>
        <w:t xml:space="preserve">, ‘Verification of Identity’ </w:t>
      </w:r>
      <w:r w:rsidR="00B35FBA" w:rsidRPr="00CA255B">
        <w:rPr>
          <w:i/>
          <w:iCs/>
          <w:sz w:val="18"/>
          <w:szCs w:val="18"/>
        </w:rPr>
        <w:t>M</w:t>
      </w:r>
      <w:r w:rsidR="008745AE" w:rsidRPr="00CA255B">
        <w:rPr>
          <w:i/>
          <w:iCs/>
          <w:sz w:val="18"/>
          <w:szCs w:val="18"/>
        </w:rPr>
        <w:t xml:space="preserve">odel </w:t>
      </w:r>
      <w:r w:rsidR="00B35FBA" w:rsidRPr="00CA255B">
        <w:rPr>
          <w:i/>
          <w:iCs/>
          <w:sz w:val="18"/>
          <w:szCs w:val="18"/>
        </w:rPr>
        <w:t>P</w:t>
      </w:r>
      <w:r w:rsidR="008745AE" w:rsidRPr="00CA255B">
        <w:rPr>
          <w:i/>
          <w:iCs/>
          <w:sz w:val="18"/>
          <w:szCs w:val="18"/>
        </w:rPr>
        <w:t xml:space="preserve">articipation Rules </w:t>
      </w:r>
      <w:r w:rsidR="008745AE" w:rsidRPr="00CA255B">
        <w:rPr>
          <w:sz w:val="18"/>
          <w:szCs w:val="18"/>
        </w:rPr>
        <w:t>(Guidance Note No 2, August 2024)</w:t>
      </w:r>
      <w:r w:rsidR="008745AE" w:rsidRPr="00CA255B">
        <w:rPr>
          <w:i/>
          <w:iCs/>
          <w:sz w:val="18"/>
          <w:szCs w:val="18"/>
        </w:rPr>
        <w:t xml:space="preserve"> </w:t>
      </w:r>
      <w:r w:rsidR="008745AE" w:rsidRPr="00CA255B">
        <w:rPr>
          <w:sz w:val="18"/>
          <w:szCs w:val="18"/>
        </w:rPr>
        <w:t>&lt;</w:t>
      </w:r>
      <w:hyperlink r:id="rId7" w:history="1">
        <w:r w:rsidR="008745AE" w:rsidRPr="00CA255B">
          <w:rPr>
            <w:rStyle w:val="Hyperlink"/>
            <w:sz w:val="18"/>
            <w:szCs w:val="18"/>
          </w:rPr>
          <w:t>https://www.arnecc.gov.au/wp-content/uploads/2024/08/MPRGUI2.pdf</w:t>
        </w:r>
      </w:hyperlink>
      <w:r w:rsidR="008745AE" w:rsidRPr="00CA255B">
        <w:rPr>
          <w:sz w:val="18"/>
          <w:szCs w:val="18"/>
        </w:rPr>
        <w:t>&gt;.</w:t>
      </w:r>
    </w:p>
  </w:footnote>
  <w:footnote w:id="8">
    <w:p w14:paraId="6876BF87" w14:textId="1AC8AD77" w:rsidR="00865E2B" w:rsidRPr="00CA255B" w:rsidRDefault="001759CD">
      <w:pPr>
        <w:spacing w:after="60"/>
        <w:rPr>
          <w:sz w:val="18"/>
          <w:szCs w:val="18"/>
        </w:rPr>
      </w:pPr>
      <w:r w:rsidRPr="00CA255B">
        <w:rPr>
          <w:rStyle w:val="FootnoteReference"/>
          <w:sz w:val="18"/>
          <w:szCs w:val="18"/>
        </w:rPr>
        <w:footnoteRef/>
      </w:r>
      <w:r w:rsidRPr="00CA255B">
        <w:rPr>
          <w:sz w:val="18"/>
          <w:szCs w:val="18"/>
        </w:rPr>
        <w:t xml:space="preserve">Tranche 2 obligations under the AML/CTF Act extend reporting-entity status to lawyers, accountants, real estate agents and trust/company service providers when providing ‘designated services’, with commencement from 1 July 2026: see Queensland Law Society, </w:t>
      </w:r>
      <w:r w:rsidRPr="00CA255B">
        <w:rPr>
          <w:i/>
          <w:iCs/>
          <w:sz w:val="18"/>
          <w:szCs w:val="18"/>
        </w:rPr>
        <w:t>Anti-Money Laundering / Counter-Terrorism Financing</w:t>
      </w:r>
      <w:r w:rsidRPr="00CA255B">
        <w:rPr>
          <w:sz w:val="18"/>
          <w:szCs w:val="18"/>
        </w:rPr>
        <w:t xml:space="preserve"> </w:t>
      </w:r>
      <w:r w:rsidR="008745AE" w:rsidRPr="00CA255B">
        <w:rPr>
          <w:sz w:val="18"/>
          <w:szCs w:val="18"/>
        </w:rPr>
        <w:t>(Web Page) &lt;</w:t>
      </w:r>
      <w:hyperlink r:id="rId8" w:history="1">
        <w:r w:rsidR="008745AE" w:rsidRPr="00CA255B">
          <w:rPr>
            <w:rStyle w:val="Hyperlink"/>
            <w:sz w:val="18"/>
            <w:szCs w:val="18"/>
          </w:rPr>
          <w:t>https://www.qls.com.au/resource-centre/anti-money-laundering-counter-terrorism-financing</w:t>
        </w:r>
      </w:hyperlink>
      <w:r w:rsidR="008745AE" w:rsidRPr="00CA255B">
        <w:rPr>
          <w:sz w:val="18"/>
          <w:szCs w:val="18"/>
        </w:rPr>
        <w:t>&gt;</w:t>
      </w:r>
      <w:r w:rsidRPr="00CA255B">
        <w:rPr>
          <w:sz w:val="18"/>
          <w:szCs w:val="18"/>
        </w:rPr>
        <w:t>. Enrolment with AUSTRAC opens from 31 March 2026.</w:t>
      </w:r>
    </w:p>
  </w:footnote>
  <w:footnote w:id="9">
    <w:p w14:paraId="47482FFE" w14:textId="60A7217D" w:rsidR="00865E2B" w:rsidRPr="00CA255B" w:rsidRDefault="001759CD">
      <w:pPr>
        <w:spacing w:after="60"/>
        <w:rPr>
          <w:sz w:val="18"/>
          <w:szCs w:val="18"/>
        </w:rPr>
      </w:pPr>
      <w:r w:rsidRPr="00CA255B">
        <w:rPr>
          <w:rStyle w:val="FootnoteReference"/>
          <w:sz w:val="18"/>
          <w:szCs w:val="18"/>
        </w:rPr>
        <w:footnoteRef/>
      </w:r>
      <w:r w:rsidRPr="00CA255B">
        <w:rPr>
          <w:sz w:val="18"/>
          <w:szCs w:val="18"/>
        </w:rPr>
        <w:t xml:space="preserve">Law Institute of Victoria, </w:t>
      </w:r>
      <w:r w:rsidRPr="00CA255B">
        <w:rPr>
          <w:i/>
          <w:iCs/>
          <w:sz w:val="18"/>
          <w:szCs w:val="18"/>
        </w:rPr>
        <w:t>File Ownership, Retention and Destruction Guidelines</w:t>
      </w:r>
      <w:r w:rsidRPr="00CA255B">
        <w:rPr>
          <w:sz w:val="18"/>
          <w:szCs w:val="18"/>
        </w:rPr>
        <w:t xml:space="preserve"> </w:t>
      </w:r>
      <w:r w:rsidR="006B71B2" w:rsidRPr="00CA255B">
        <w:rPr>
          <w:sz w:val="18"/>
          <w:szCs w:val="18"/>
        </w:rPr>
        <w:t>(Guidelines, approved 12 October 2022) &lt;</w:t>
      </w:r>
      <w:hyperlink r:id="rId9" w:history="1">
        <w:r w:rsidR="006B71B2" w:rsidRPr="00CA255B">
          <w:rPr>
            <w:rStyle w:val="Hyperlink"/>
            <w:sz w:val="18"/>
            <w:szCs w:val="18"/>
          </w:rPr>
          <w:t>https://www.liv.asn.au/download.aspx?DocumentVersionKey=73dcb2c9-df65-41b1-8dc7-8ef86840a5bf&amp;srsltid=AfmBOop6LdD0h6dPUWSokeNQtNMDAefXIag5dHEe4kRLHU7w9O4p7x7W</w:t>
        </w:r>
      </w:hyperlink>
      <w:r w:rsidR="006B71B2" w:rsidRPr="00CA255B">
        <w:rPr>
          <w:sz w:val="18"/>
          <w:szCs w:val="18"/>
        </w:rPr>
        <w:t xml:space="preserve">&gt;. </w:t>
      </w:r>
      <w:r w:rsidRPr="00CA255B">
        <w:rPr>
          <w:sz w:val="18"/>
          <w:szCs w:val="18"/>
        </w:rPr>
        <w:t>The LIV guideline</w:t>
      </w:r>
      <w:r w:rsidR="006B71B2" w:rsidRPr="00CA255B">
        <w:rPr>
          <w:sz w:val="18"/>
          <w:szCs w:val="18"/>
        </w:rPr>
        <w:t>s</w:t>
      </w:r>
      <w:r w:rsidRPr="00CA255B">
        <w:rPr>
          <w:sz w:val="18"/>
          <w:szCs w:val="18"/>
        </w:rPr>
        <w:t xml:space="preserve"> reflect the widely adopted 7-year benchmark for client document retention across Australian jurisdictions, subject to client instructions and legal obligations to the contrary.</w:t>
      </w:r>
    </w:p>
  </w:footnote>
  <w:footnote w:id="10">
    <w:p w14:paraId="0647C82B" w14:textId="78CD963A" w:rsidR="00201EEE" w:rsidRPr="00CA255B" w:rsidRDefault="00201EEE">
      <w:pPr>
        <w:pStyle w:val="FootnoteText"/>
        <w:rPr>
          <w:sz w:val="18"/>
          <w:szCs w:val="18"/>
          <w:lang w:val="en-US"/>
        </w:rPr>
      </w:pPr>
      <w:r w:rsidRPr="00CA255B">
        <w:rPr>
          <w:rStyle w:val="FootnoteReference"/>
          <w:sz w:val="18"/>
          <w:szCs w:val="18"/>
        </w:rPr>
        <w:footnoteRef/>
      </w:r>
      <w:r w:rsidRPr="00CA255B">
        <w:rPr>
          <w:sz w:val="18"/>
          <w:szCs w:val="18"/>
        </w:rPr>
        <w:t xml:space="preserve"> </w:t>
      </w:r>
      <w:r w:rsidRPr="00CA255B">
        <w:rPr>
          <w:i/>
          <w:iCs/>
          <w:sz w:val="18"/>
          <w:szCs w:val="18"/>
        </w:rPr>
        <w:t>Anti-Money Laundering and Counter-Terrorism Financing Act 2006</w:t>
      </w:r>
      <w:r w:rsidRPr="00CA255B">
        <w:rPr>
          <w:sz w:val="18"/>
          <w:szCs w:val="18"/>
        </w:rPr>
        <w:t xml:space="preserve"> (</w:t>
      </w:r>
      <w:r w:rsidRPr="00CA255B">
        <w:rPr>
          <w:sz w:val="18"/>
          <w:szCs w:val="18"/>
        </w:rPr>
        <w:t>Cth).</w:t>
      </w:r>
    </w:p>
  </w:footnote>
  <w:footnote w:id="11">
    <w:p w14:paraId="6D71265F" w14:textId="22AF78B7" w:rsidR="00201EEE" w:rsidRPr="00CA255B" w:rsidRDefault="00201EEE">
      <w:pPr>
        <w:pStyle w:val="FootnoteText"/>
        <w:rPr>
          <w:sz w:val="18"/>
          <w:szCs w:val="18"/>
          <w:lang w:val="en-US"/>
        </w:rPr>
      </w:pPr>
      <w:r w:rsidRPr="00CA255B">
        <w:rPr>
          <w:rStyle w:val="FootnoteReference"/>
          <w:sz w:val="18"/>
          <w:szCs w:val="18"/>
        </w:rPr>
        <w:footnoteRef/>
      </w:r>
      <w:r w:rsidRPr="00CA255B">
        <w:rPr>
          <w:sz w:val="18"/>
          <w:szCs w:val="18"/>
        </w:rPr>
        <w:t xml:space="preserve"> </w:t>
      </w:r>
      <w:r w:rsidRPr="00CA255B">
        <w:rPr>
          <w:i/>
          <w:iCs/>
          <w:sz w:val="18"/>
          <w:szCs w:val="18"/>
        </w:rPr>
        <w:t>Anti-Money Laundering and Counter-Terrorism Financing Act 2006</w:t>
      </w:r>
      <w:r w:rsidRPr="00CA255B">
        <w:rPr>
          <w:sz w:val="18"/>
          <w:szCs w:val="18"/>
        </w:rPr>
        <w:t xml:space="preserve"> (</w:t>
      </w:r>
      <w:r w:rsidRPr="00CA255B">
        <w:rPr>
          <w:sz w:val="18"/>
          <w:szCs w:val="18"/>
        </w:rPr>
        <w:t>Cth) ss 107, 111, 114, 114A.</w:t>
      </w:r>
    </w:p>
  </w:footnote>
  <w:footnote w:id="12">
    <w:p w14:paraId="0B216D03" w14:textId="06BC92A1" w:rsidR="00865E2B" w:rsidRPr="00CA255B" w:rsidRDefault="001759CD">
      <w:pPr>
        <w:spacing w:after="60"/>
        <w:rPr>
          <w:sz w:val="18"/>
          <w:szCs w:val="18"/>
        </w:rPr>
      </w:pPr>
      <w:r w:rsidRPr="00CA255B">
        <w:rPr>
          <w:rStyle w:val="FootnoteReference"/>
          <w:sz w:val="18"/>
          <w:szCs w:val="18"/>
        </w:rPr>
        <w:footnoteRef/>
      </w:r>
      <w:r w:rsidRPr="00CA255B">
        <w:rPr>
          <w:sz w:val="18"/>
          <w:szCs w:val="18"/>
        </w:rPr>
        <w:t xml:space="preserve">AUSTRAC, </w:t>
      </w:r>
      <w:r w:rsidRPr="00CA255B">
        <w:rPr>
          <w:i/>
          <w:iCs/>
          <w:sz w:val="18"/>
          <w:szCs w:val="18"/>
        </w:rPr>
        <w:t>Record keeping overview</w:t>
      </w:r>
      <w:r w:rsidR="006B71B2" w:rsidRPr="00CA255B">
        <w:rPr>
          <w:i/>
          <w:iCs/>
          <w:sz w:val="18"/>
          <w:szCs w:val="18"/>
        </w:rPr>
        <w:t xml:space="preserve"> </w:t>
      </w:r>
      <w:r w:rsidR="006B71B2" w:rsidRPr="00CA255B">
        <w:rPr>
          <w:sz w:val="18"/>
          <w:szCs w:val="18"/>
        </w:rPr>
        <w:t>(Web Page, updated 12 June 2026) &lt;</w:t>
      </w:r>
      <w:r w:rsidRPr="00CA255B">
        <w:rPr>
          <w:sz w:val="18"/>
          <w:szCs w:val="18"/>
        </w:rPr>
        <w:t xml:space="preserve"> </w:t>
      </w:r>
      <w:hyperlink r:id="rId10" w:history="1">
        <w:r w:rsidR="006B71B2" w:rsidRPr="00CA255B">
          <w:rPr>
            <w:rStyle w:val="Hyperlink"/>
            <w:sz w:val="18"/>
            <w:szCs w:val="18"/>
          </w:rPr>
          <w:t>https://www.austrac.gov.au/industry-and-business/obligations-and-guidance/your-amlctf-program/develop-your-amlctf-programs/record-keeping/record-keeping-overview</w:t>
        </w:r>
      </w:hyperlink>
      <w:r w:rsidR="006B71B2" w:rsidRPr="00CA255B">
        <w:rPr>
          <w:sz w:val="18"/>
          <w:szCs w:val="18"/>
        </w:rPr>
        <w:t>&gt;</w:t>
      </w:r>
      <w:r w:rsidRPr="00CA255B">
        <w:rPr>
          <w:sz w:val="18"/>
          <w:szCs w:val="18"/>
        </w:rPr>
        <w:t>.</w:t>
      </w:r>
    </w:p>
  </w:footnote>
  <w:footnote w:id="13">
    <w:p w14:paraId="1C5FD021" w14:textId="5E9640E9" w:rsidR="00865E2B" w:rsidRPr="00CA255B" w:rsidRDefault="001759CD">
      <w:pPr>
        <w:spacing w:after="60"/>
        <w:rPr>
          <w:sz w:val="18"/>
          <w:szCs w:val="18"/>
        </w:rPr>
      </w:pPr>
      <w:r w:rsidRPr="00CA255B">
        <w:rPr>
          <w:rStyle w:val="FootnoteReference"/>
          <w:sz w:val="18"/>
          <w:szCs w:val="18"/>
        </w:rPr>
        <w:footnoteRef/>
      </w:r>
      <w:r w:rsidRPr="00CA255B">
        <w:rPr>
          <w:i/>
          <w:iCs/>
          <w:sz w:val="18"/>
          <w:szCs w:val="18"/>
        </w:rPr>
        <w:t>Anti-Money Laundering and Counter-Terrorism Financing Rules</w:t>
      </w:r>
      <w:r w:rsidRPr="00CA255B">
        <w:rPr>
          <w:sz w:val="18"/>
          <w:szCs w:val="18"/>
        </w:rPr>
        <w:t xml:space="preserve"> (AUSTRAC), as in force from 31 March 2026. See AUSTRAC, </w:t>
      </w:r>
      <w:r w:rsidRPr="00CA255B">
        <w:rPr>
          <w:i/>
          <w:iCs/>
          <w:sz w:val="18"/>
          <w:szCs w:val="18"/>
        </w:rPr>
        <w:t>Future law compilation of the AML/CTF Act</w:t>
      </w:r>
      <w:r w:rsidR="006B71B2" w:rsidRPr="00CA255B">
        <w:rPr>
          <w:i/>
          <w:iCs/>
          <w:sz w:val="18"/>
          <w:szCs w:val="18"/>
        </w:rPr>
        <w:t xml:space="preserve"> </w:t>
      </w:r>
      <w:r w:rsidR="006B71B2" w:rsidRPr="00CA255B">
        <w:rPr>
          <w:sz w:val="18"/>
          <w:szCs w:val="18"/>
        </w:rPr>
        <w:t>(Web Page, updated 27 March 2026)</w:t>
      </w:r>
      <w:r w:rsidRPr="00CA255B">
        <w:rPr>
          <w:sz w:val="18"/>
          <w:szCs w:val="18"/>
        </w:rPr>
        <w:t xml:space="preserve"> </w:t>
      </w:r>
      <w:r w:rsidR="006B71B2" w:rsidRPr="00CA255B">
        <w:rPr>
          <w:sz w:val="18"/>
          <w:szCs w:val="18"/>
        </w:rPr>
        <w:t>&lt;</w:t>
      </w:r>
      <w:hyperlink r:id="rId11" w:history="1">
        <w:r w:rsidR="006B71B2" w:rsidRPr="00CA255B">
          <w:rPr>
            <w:rStyle w:val="Hyperlink"/>
            <w:sz w:val="18"/>
            <w:szCs w:val="18"/>
          </w:rPr>
          <w:t>https://www.austrac.gov.au/about-us/legislation/future-law-compilation-amlctf-act</w:t>
        </w:r>
      </w:hyperlink>
      <w:r w:rsidR="006B71B2" w:rsidRPr="00CA255B">
        <w:rPr>
          <w:sz w:val="18"/>
          <w:szCs w:val="18"/>
        </w:rPr>
        <w:t>&gt;</w:t>
      </w:r>
      <w:r w:rsidRPr="00CA255B">
        <w:rPr>
          <w:sz w:val="18"/>
          <w:szCs w:val="18"/>
        </w:rPr>
        <w:t>.</w:t>
      </w:r>
    </w:p>
  </w:footnote>
  <w:footnote w:id="14">
    <w:p w14:paraId="3B197E3F" w14:textId="77777777" w:rsidR="00865E2B" w:rsidRPr="00CA255B" w:rsidRDefault="001759CD" w:rsidP="00C31644">
      <w:pPr>
        <w:rPr>
          <w:sz w:val="18"/>
          <w:szCs w:val="18"/>
        </w:rPr>
      </w:pPr>
      <w:r w:rsidRPr="00CA255B">
        <w:rPr>
          <w:rStyle w:val="FootnoteReference"/>
          <w:sz w:val="18"/>
          <w:szCs w:val="18"/>
        </w:rPr>
        <w:footnoteRef/>
      </w:r>
      <w:r w:rsidRPr="00CA255B">
        <w:rPr>
          <w:sz w:val="18"/>
          <w:szCs w:val="18"/>
        </w:rPr>
        <w:t xml:space="preserve">Office of the Australian Information Commissioner, </w:t>
      </w:r>
      <w:r w:rsidRPr="00CA255B">
        <w:rPr>
          <w:i/>
          <w:iCs/>
          <w:sz w:val="18"/>
          <w:szCs w:val="18"/>
        </w:rPr>
        <w:t xml:space="preserve">Chapter 11 APP Guidelines </w:t>
      </w:r>
      <w:r w:rsidRPr="00CA255B">
        <w:rPr>
          <w:sz w:val="18"/>
          <w:szCs w:val="18"/>
        </w:rPr>
        <w:t>(updated 2025), paras [11.19]</w:t>
      </w:r>
      <w:r w:rsidRPr="00CA255B">
        <w:rPr>
          <w:sz w:val="18"/>
          <w:szCs w:val="18"/>
        </w:rPr>
        <w:t>–[11.41] (reasonable steps to destroy or de-identify; ‘put beyond use’ standard for electronic records that cannot be irretrievably destroyed).</w:t>
      </w:r>
    </w:p>
  </w:footnote>
  <w:footnote w:id="15">
    <w:p w14:paraId="64E44F52" w14:textId="77777777" w:rsidR="00865E2B" w:rsidRPr="00CA255B" w:rsidRDefault="001759CD">
      <w:pPr>
        <w:spacing w:after="60"/>
        <w:rPr>
          <w:sz w:val="18"/>
          <w:szCs w:val="18"/>
        </w:rPr>
      </w:pPr>
      <w:r w:rsidRPr="00CA255B">
        <w:rPr>
          <w:rStyle w:val="FootnoteReference"/>
          <w:sz w:val="18"/>
          <w:szCs w:val="18"/>
        </w:rPr>
        <w:footnoteRef/>
      </w:r>
      <w:r w:rsidRPr="00CA255B">
        <w:rPr>
          <w:i/>
          <w:iCs/>
          <w:sz w:val="18"/>
          <w:szCs w:val="18"/>
        </w:rPr>
        <w:t>Industrial Relations Act 2016</w:t>
      </w:r>
      <w:r w:rsidRPr="00CA255B">
        <w:rPr>
          <w:sz w:val="18"/>
          <w:szCs w:val="18"/>
        </w:rPr>
        <w:t xml:space="preserve"> (Qld) </w:t>
      </w:r>
      <w:r w:rsidRPr="00CA255B">
        <w:rPr>
          <w:sz w:val="18"/>
          <w:szCs w:val="18"/>
        </w:rPr>
        <w:t xml:space="preserve">ch 2 pt 3 div 9 (long service leave); </w:t>
      </w:r>
      <w:r w:rsidRPr="00CA255B">
        <w:rPr>
          <w:i/>
          <w:iCs/>
          <w:sz w:val="18"/>
          <w:szCs w:val="18"/>
        </w:rPr>
        <w:t>Fair Work Act 2009</w:t>
      </w:r>
      <w:r w:rsidRPr="00CA255B">
        <w:rPr>
          <w:sz w:val="18"/>
          <w:szCs w:val="18"/>
        </w:rPr>
        <w:t xml:space="preserve"> (Cth) s 535 (national system employers).</w:t>
      </w:r>
    </w:p>
  </w:footnote>
  <w:footnote w:id="16">
    <w:p w14:paraId="49FF7259" w14:textId="188AA2CB" w:rsidR="00CA255B" w:rsidRPr="00CA255B" w:rsidRDefault="00CA255B">
      <w:pPr>
        <w:pStyle w:val="FootnoteText"/>
        <w:rPr>
          <w:sz w:val="18"/>
          <w:szCs w:val="18"/>
          <w:lang w:val="en-US"/>
        </w:rPr>
      </w:pPr>
      <w:r w:rsidRPr="00CA255B">
        <w:rPr>
          <w:rStyle w:val="FootnoteReference"/>
          <w:sz w:val="18"/>
          <w:szCs w:val="18"/>
        </w:rPr>
        <w:footnoteRef/>
      </w:r>
      <w:r w:rsidRPr="00CA255B">
        <w:rPr>
          <w:sz w:val="18"/>
          <w:szCs w:val="18"/>
        </w:rPr>
        <w:t xml:space="preserve"> </w:t>
      </w:r>
      <w:r w:rsidRPr="00CA255B">
        <w:rPr>
          <w:i/>
          <w:iCs/>
          <w:sz w:val="18"/>
          <w:szCs w:val="18"/>
          <w:lang w:val="en-US"/>
        </w:rPr>
        <w:t xml:space="preserve">Corporations Act 2001 </w:t>
      </w:r>
      <w:r w:rsidRPr="00CA255B">
        <w:rPr>
          <w:sz w:val="18"/>
          <w:szCs w:val="18"/>
          <w:lang w:val="en-US"/>
        </w:rPr>
        <w:t>(</w:t>
      </w:r>
      <w:r w:rsidRPr="00CA255B">
        <w:rPr>
          <w:sz w:val="18"/>
          <w:szCs w:val="18"/>
          <w:lang w:val="en-US"/>
        </w:rPr>
        <w:t>Cth) s 286.</w:t>
      </w:r>
    </w:p>
  </w:footnote>
  <w:footnote w:id="17">
    <w:p w14:paraId="5E4508F1" w14:textId="0A632FA2" w:rsidR="00865E2B" w:rsidRPr="00CA255B" w:rsidRDefault="001759CD">
      <w:pPr>
        <w:spacing w:after="60"/>
        <w:rPr>
          <w:sz w:val="18"/>
          <w:szCs w:val="18"/>
        </w:rPr>
      </w:pPr>
      <w:r w:rsidRPr="00CA255B">
        <w:rPr>
          <w:rStyle w:val="FootnoteReference"/>
          <w:sz w:val="18"/>
          <w:szCs w:val="18"/>
        </w:rPr>
        <w:footnoteRef/>
      </w:r>
      <w:r w:rsidRPr="00CA255B">
        <w:rPr>
          <w:i/>
          <w:iCs/>
          <w:sz w:val="18"/>
          <w:szCs w:val="18"/>
        </w:rPr>
        <w:t>Income Tax Assessment Act 1936</w:t>
      </w:r>
      <w:r w:rsidRPr="00CA255B">
        <w:rPr>
          <w:sz w:val="18"/>
          <w:szCs w:val="18"/>
        </w:rPr>
        <w:t xml:space="preserve"> (</w:t>
      </w:r>
      <w:r w:rsidRPr="00CA255B">
        <w:rPr>
          <w:sz w:val="18"/>
          <w:szCs w:val="18"/>
        </w:rPr>
        <w:t xml:space="preserve">Cth) s 262A; </w:t>
      </w:r>
      <w:r w:rsidRPr="00CA255B">
        <w:rPr>
          <w:i/>
          <w:iCs/>
          <w:sz w:val="18"/>
          <w:szCs w:val="18"/>
        </w:rPr>
        <w:t>A New Tax System (Goods and Services Tax) Act 1999</w:t>
      </w:r>
      <w:r w:rsidRPr="00CA255B">
        <w:rPr>
          <w:sz w:val="18"/>
          <w:szCs w:val="18"/>
        </w:rPr>
        <w:t xml:space="preserve"> (Cth) s 70-5; Australian Taxation Office, </w:t>
      </w:r>
      <w:r w:rsidRPr="00CA255B">
        <w:rPr>
          <w:i/>
          <w:iCs/>
          <w:sz w:val="18"/>
          <w:szCs w:val="18"/>
        </w:rPr>
        <w:t>Overview of record-keeping rules for business</w:t>
      </w:r>
      <w:r w:rsidRPr="00CA255B">
        <w:rPr>
          <w:sz w:val="18"/>
          <w:szCs w:val="18"/>
        </w:rPr>
        <w:t xml:space="preserve"> </w:t>
      </w:r>
      <w:r w:rsidR="006B71B2" w:rsidRPr="00CA255B">
        <w:rPr>
          <w:sz w:val="18"/>
          <w:szCs w:val="18"/>
        </w:rPr>
        <w:t>(Web Page, updated 18 June 2026) &lt;</w:t>
      </w:r>
      <w:hyperlink r:id="rId12" w:history="1">
        <w:r w:rsidR="006B71B2" w:rsidRPr="00CA255B">
          <w:rPr>
            <w:rStyle w:val="Hyperlink"/>
            <w:sz w:val="18"/>
            <w:szCs w:val="18"/>
          </w:rPr>
          <w:t>https://www.ato.gov.au/businesses-and-organisations/preparing-lodging-and-paying/record-keeping-for-business/overview-of-record-keeping-rules-for-business</w:t>
        </w:r>
      </w:hyperlink>
      <w:r w:rsidR="006B71B2" w:rsidRPr="00CA255B">
        <w:rPr>
          <w:sz w:val="18"/>
          <w:szCs w:val="18"/>
        </w:rPr>
        <w:t>&gt;</w:t>
      </w:r>
      <w:r w:rsidRPr="00CA255B">
        <w:rPr>
          <w:sz w:val="18"/>
          <w:szCs w:val="18"/>
        </w:rPr>
        <w:t>.</w:t>
      </w:r>
    </w:p>
  </w:footnote>
  <w:footnote w:id="18">
    <w:p w14:paraId="1974DC8C" w14:textId="6F7EC786" w:rsidR="00865E2B" w:rsidRPr="00CA255B" w:rsidRDefault="001759CD">
      <w:pPr>
        <w:spacing w:after="60"/>
        <w:rPr>
          <w:sz w:val="18"/>
          <w:szCs w:val="18"/>
        </w:rPr>
      </w:pPr>
      <w:r w:rsidRPr="00CA255B">
        <w:rPr>
          <w:rStyle w:val="FootnoteReference"/>
          <w:sz w:val="18"/>
          <w:szCs w:val="18"/>
        </w:rPr>
        <w:footnoteRef/>
      </w:r>
      <w:r w:rsidRPr="00CA255B">
        <w:rPr>
          <w:i/>
          <w:iCs/>
          <w:sz w:val="18"/>
          <w:szCs w:val="18"/>
        </w:rPr>
        <w:t>Limitation of Actions Act 1974</w:t>
      </w:r>
      <w:r w:rsidRPr="00CA255B">
        <w:rPr>
          <w:sz w:val="18"/>
          <w:szCs w:val="18"/>
        </w:rPr>
        <w:t xml:space="preserve"> (Qld) ss 10, 10AA, 11 (six-year limitation for simple contract and tort actions; specific personal injury rules). From 1 August 2025, the limitation period for actions on deeds executed in Queensland on or after that date is reduced from twelve years to six years: see </w:t>
      </w:r>
      <w:r w:rsidR="005333C9" w:rsidRPr="00CA255B">
        <w:rPr>
          <w:sz w:val="18"/>
          <w:szCs w:val="18"/>
        </w:rPr>
        <w:t>&lt;</w:t>
      </w:r>
      <w:hyperlink r:id="rId13" w:history="1">
        <w:r w:rsidR="005333C9" w:rsidRPr="00CA255B">
          <w:rPr>
            <w:rStyle w:val="Hyperlink"/>
            <w:sz w:val="18"/>
            <w:szCs w:val="18"/>
          </w:rPr>
          <w:t>https://www.legislation.qld.gov.au/view/whole/html/inforce/current/act-1974-075</w:t>
        </w:r>
      </w:hyperlink>
      <w:r w:rsidR="005333C9" w:rsidRPr="00CA255B">
        <w:rPr>
          <w:sz w:val="18"/>
          <w:szCs w:val="18"/>
        </w:rPr>
        <w:t>&gt;</w:t>
      </w:r>
      <w:r w:rsidRPr="00CA255B">
        <w:rPr>
          <w:sz w:val="18"/>
          <w:szCs w:val="18"/>
        </w:rPr>
        <w:t>.</w:t>
      </w:r>
    </w:p>
  </w:footnote>
  <w:footnote w:id="19">
    <w:p w14:paraId="333D95EA" w14:textId="1D1D7889" w:rsidR="00865E2B" w:rsidRPr="00CA255B" w:rsidRDefault="001759CD">
      <w:pPr>
        <w:spacing w:after="60"/>
        <w:rPr>
          <w:sz w:val="18"/>
          <w:szCs w:val="18"/>
        </w:rPr>
      </w:pPr>
      <w:r w:rsidRPr="00CA255B">
        <w:rPr>
          <w:rStyle w:val="FootnoteReference"/>
          <w:sz w:val="18"/>
          <w:szCs w:val="18"/>
        </w:rPr>
        <w:footnoteRef/>
      </w:r>
      <w:r w:rsidRPr="00CA255B">
        <w:rPr>
          <w:sz w:val="18"/>
          <w:szCs w:val="18"/>
        </w:rPr>
        <w:t xml:space="preserve">There is no Queensland statutory retention period for original wills held in safe custody; the firm holds the will as bailee for the testator and (after death) the executor. Originals should be retained until the will is proved or </w:t>
      </w:r>
      <w:r w:rsidRPr="00CA255B">
        <w:rPr>
          <w:sz w:val="18"/>
          <w:szCs w:val="18"/>
        </w:rPr>
        <w:t xml:space="preserve">revoked, or returned to the testator on instructions. See generally </w:t>
      </w:r>
      <w:r w:rsidRPr="00CA255B">
        <w:rPr>
          <w:i/>
          <w:iCs/>
          <w:sz w:val="18"/>
          <w:szCs w:val="18"/>
        </w:rPr>
        <w:t>Succession Act 1981</w:t>
      </w:r>
      <w:r w:rsidRPr="00CA255B">
        <w:rPr>
          <w:sz w:val="18"/>
          <w:szCs w:val="18"/>
        </w:rPr>
        <w:t xml:space="preserve"> (Qld) and QLS Ethics </w:t>
      </w:r>
      <w:r w:rsidR="005333C9" w:rsidRPr="00CA255B">
        <w:rPr>
          <w:sz w:val="18"/>
          <w:szCs w:val="18"/>
        </w:rPr>
        <w:t xml:space="preserve">and Practice </w:t>
      </w:r>
      <w:r w:rsidRPr="00CA255B">
        <w:rPr>
          <w:sz w:val="18"/>
          <w:szCs w:val="18"/>
        </w:rPr>
        <w:t>Centre commentary.</w:t>
      </w:r>
    </w:p>
  </w:footnote>
  <w:footnote w:id="20">
    <w:p w14:paraId="5CAD0E8B" w14:textId="5CFCB293" w:rsidR="00865E2B" w:rsidRPr="00CA255B" w:rsidRDefault="001759CD">
      <w:pPr>
        <w:spacing w:after="60"/>
        <w:rPr>
          <w:sz w:val="18"/>
          <w:szCs w:val="18"/>
        </w:rPr>
      </w:pPr>
      <w:r w:rsidRPr="00CA255B">
        <w:rPr>
          <w:rStyle w:val="FootnoteReference"/>
          <w:sz w:val="18"/>
          <w:szCs w:val="18"/>
        </w:rPr>
        <w:footnoteRef/>
      </w:r>
      <w:r w:rsidRPr="00CA255B">
        <w:rPr>
          <w:i/>
          <w:iCs/>
          <w:sz w:val="18"/>
          <w:szCs w:val="18"/>
        </w:rPr>
        <w:t>Land Title Act 1994</w:t>
      </w:r>
      <w:r w:rsidRPr="00CA255B">
        <w:rPr>
          <w:sz w:val="18"/>
          <w:szCs w:val="18"/>
        </w:rPr>
        <w:t xml:space="preserve"> (Qld) and </w:t>
      </w:r>
      <w:r w:rsidR="005333C9" w:rsidRPr="00CA255B">
        <w:rPr>
          <w:sz w:val="18"/>
          <w:szCs w:val="18"/>
        </w:rPr>
        <w:t xml:space="preserve">Titles Queensland, </w:t>
      </w:r>
      <w:r w:rsidRPr="00CA255B">
        <w:rPr>
          <w:i/>
          <w:iCs/>
          <w:sz w:val="18"/>
          <w:szCs w:val="18"/>
        </w:rPr>
        <w:t>Land Title Practice Manual</w:t>
      </w:r>
      <w:r w:rsidRPr="00CA255B">
        <w:rPr>
          <w:sz w:val="18"/>
          <w:szCs w:val="18"/>
        </w:rPr>
        <w:t xml:space="preserve">, particularly requirements under </w:t>
      </w:r>
      <w:r w:rsidRPr="00CA255B">
        <w:rPr>
          <w:i/>
          <w:iCs/>
          <w:sz w:val="18"/>
          <w:szCs w:val="18"/>
        </w:rPr>
        <w:t>Verification of Identity Standard</w:t>
      </w:r>
      <w:r w:rsidRPr="00CA255B">
        <w:rPr>
          <w:sz w:val="18"/>
          <w:szCs w:val="18"/>
        </w:rPr>
        <w:t xml:space="preserve"> para 9 (retain VOI records for at least seven years after the date of the conveyancing transaction).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AE293" w14:textId="2368F427" w:rsidR="00865E2B" w:rsidRDefault="001759CD">
    <w:pPr>
      <w:jc w:val="right"/>
    </w:pPr>
    <w:r>
      <w:rPr>
        <w:i/>
        <w:iCs/>
        <w:color w:val="777777"/>
        <w:sz w:val="16"/>
        <w:szCs w:val="16"/>
      </w:rPr>
      <w:t xml:space="preserve">Document retention </w:t>
    </w:r>
    <w:r w:rsidR="004D3AD5">
      <w:rPr>
        <w:i/>
        <w:iCs/>
        <w:color w:val="777777"/>
        <w:sz w:val="16"/>
        <w:szCs w:val="16"/>
      </w:rPr>
      <w:t>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83EC5"/>
    <w:multiLevelType w:val="hybridMultilevel"/>
    <w:tmpl w:val="BB82E6C2"/>
    <w:lvl w:ilvl="0" w:tplc="51AC9938">
      <w:start w:val="1"/>
      <w:numFmt w:val="bullet"/>
      <w:lvlText w:val="●"/>
      <w:lvlJc w:val="left"/>
      <w:pPr>
        <w:ind w:left="720" w:hanging="360"/>
      </w:pPr>
    </w:lvl>
    <w:lvl w:ilvl="1" w:tplc="A33CAD3A">
      <w:start w:val="1"/>
      <w:numFmt w:val="bullet"/>
      <w:lvlText w:val="○"/>
      <w:lvlJc w:val="left"/>
      <w:pPr>
        <w:ind w:left="1440" w:hanging="360"/>
      </w:pPr>
    </w:lvl>
    <w:lvl w:ilvl="2" w:tplc="0E5C2152">
      <w:start w:val="1"/>
      <w:numFmt w:val="bullet"/>
      <w:lvlText w:val="■"/>
      <w:lvlJc w:val="left"/>
      <w:pPr>
        <w:ind w:left="2160" w:hanging="360"/>
      </w:pPr>
    </w:lvl>
    <w:lvl w:ilvl="3" w:tplc="8D1A8DB6">
      <w:start w:val="1"/>
      <w:numFmt w:val="bullet"/>
      <w:lvlText w:val="●"/>
      <w:lvlJc w:val="left"/>
      <w:pPr>
        <w:ind w:left="2880" w:hanging="360"/>
      </w:pPr>
    </w:lvl>
    <w:lvl w:ilvl="4" w:tplc="1600739E">
      <w:start w:val="1"/>
      <w:numFmt w:val="bullet"/>
      <w:lvlText w:val="○"/>
      <w:lvlJc w:val="left"/>
      <w:pPr>
        <w:ind w:left="3600" w:hanging="360"/>
      </w:pPr>
    </w:lvl>
    <w:lvl w:ilvl="5" w:tplc="DE96BE18">
      <w:start w:val="1"/>
      <w:numFmt w:val="bullet"/>
      <w:lvlText w:val="■"/>
      <w:lvlJc w:val="left"/>
      <w:pPr>
        <w:ind w:left="4320" w:hanging="360"/>
      </w:pPr>
    </w:lvl>
    <w:lvl w:ilvl="6" w:tplc="1D9A1EFC">
      <w:start w:val="1"/>
      <w:numFmt w:val="bullet"/>
      <w:lvlText w:val="●"/>
      <w:lvlJc w:val="left"/>
      <w:pPr>
        <w:ind w:left="5040" w:hanging="360"/>
      </w:pPr>
    </w:lvl>
    <w:lvl w:ilvl="7" w:tplc="2ED6137A">
      <w:start w:val="1"/>
      <w:numFmt w:val="bullet"/>
      <w:lvlText w:val="●"/>
      <w:lvlJc w:val="left"/>
      <w:pPr>
        <w:ind w:left="5760" w:hanging="360"/>
      </w:pPr>
    </w:lvl>
    <w:lvl w:ilvl="8" w:tplc="9A2C0E58">
      <w:start w:val="1"/>
      <w:numFmt w:val="bullet"/>
      <w:lvlText w:val="●"/>
      <w:lvlJc w:val="left"/>
      <w:pPr>
        <w:ind w:left="6480" w:hanging="360"/>
      </w:pPr>
    </w:lvl>
  </w:abstractNum>
  <w:abstractNum w:abstractNumId="1" w15:restartNumberingAfterBreak="0">
    <w:nsid w:val="551438A8"/>
    <w:multiLevelType w:val="hybridMultilevel"/>
    <w:tmpl w:val="983E0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8135122"/>
    <w:multiLevelType w:val="hybridMultilevel"/>
    <w:tmpl w:val="B0A42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61173711">
    <w:abstractNumId w:val="0"/>
    <w:lvlOverride w:ilvl="0">
      <w:startOverride w:val="1"/>
    </w:lvlOverride>
  </w:num>
  <w:num w:numId="2" w16cid:durableId="635183879">
    <w:abstractNumId w:val="2"/>
  </w:num>
  <w:num w:numId="3" w16cid:durableId="853105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B"/>
    <w:rsid w:val="00077606"/>
    <w:rsid w:val="00093499"/>
    <w:rsid w:val="00110A16"/>
    <w:rsid w:val="001759CD"/>
    <w:rsid w:val="00201EEE"/>
    <w:rsid w:val="00217E85"/>
    <w:rsid w:val="00225275"/>
    <w:rsid w:val="004665F1"/>
    <w:rsid w:val="004D3AD5"/>
    <w:rsid w:val="005333C9"/>
    <w:rsid w:val="00534212"/>
    <w:rsid w:val="00543245"/>
    <w:rsid w:val="005B09E3"/>
    <w:rsid w:val="005B280F"/>
    <w:rsid w:val="005D410B"/>
    <w:rsid w:val="005D49B3"/>
    <w:rsid w:val="00633FED"/>
    <w:rsid w:val="006B71B2"/>
    <w:rsid w:val="007C2CDA"/>
    <w:rsid w:val="00824456"/>
    <w:rsid w:val="008553E8"/>
    <w:rsid w:val="00865E2B"/>
    <w:rsid w:val="00870991"/>
    <w:rsid w:val="00872280"/>
    <w:rsid w:val="008745AE"/>
    <w:rsid w:val="009B32F5"/>
    <w:rsid w:val="009D3B83"/>
    <w:rsid w:val="009F79E0"/>
    <w:rsid w:val="00A844AE"/>
    <w:rsid w:val="00B35FBA"/>
    <w:rsid w:val="00B623D8"/>
    <w:rsid w:val="00C31644"/>
    <w:rsid w:val="00C40FDF"/>
    <w:rsid w:val="00CA255B"/>
    <w:rsid w:val="00D84527"/>
    <w:rsid w:val="00DB54EE"/>
    <w:rsid w:val="00EF6CCF"/>
    <w:rsid w:val="00F01144"/>
    <w:rsid w:val="00FC20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B9603"/>
  <w15:docId w15:val="{AECDEC70-89CC-47E2-B871-BE198E43D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B35FBA"/>
    <w:pPr>
      <w:tabs>
        <w:tab w:val="center" w:pos="4513"/>
        <w:tab w:val="right" w:pos="9026"/>
      </w:tabs>
    </w:pPr>
  </w:style>
  <w:style w:type="character" w:customStyle="1" w:styleId="HeaderChar">
    <w:name w:val="Header Char"/>
    <w:basedOn w:val="DefaultParagraphFont"/>
    <w:link w:val="Header"/>
    <w:uiPriority w:val="99"/>
    <w:rsid w:val="00B35FBA"/>
  </w:style>
  <w:style w:type="paragraph" w:styleId="Footer">
    <w:name w:val="footer"/>
    <w:basedOn w:val="Normal"/>
    <w:link w:val="FooterChar"/>
    <w:uiPriority w:val="99"/>
    <w:unhideWhenUsed/>
    <w:rsid w:val="00B35FBA"/>
    <w:pPr>
      <w:tabs>
        <w:tab w:val="center" w:pos="4513"/>
        <w:tab w:val="right" w:pos="9026"/>
      </w:tabs>
    </w:pPr>
  </w:style>
  <w:style w:type="character" w:customStyle="1" w:styleId="FooterChar">
    <w:name w:val="Footer Char"/>
    <w:basedOn w:val="DefaultParagraphFont"/>
    <w:link w:val="Footer"/>
    <w:uiPriority w:val="99"/>
    <w:rsid w:val="00B35FBA"/>
  </w:style>
  <w:style w:type="character" w:styleId="UnresolvedMention">
    <w:name w:val="Unresolved Mention"/>
    <w:basedOn w:val="DefaultParagraphFont"/>
    <w:uiPriority w:val="99"/>
    <w:semiHidden/>
    <w:unhideWhenUsed/>
    <w:rsid w:val="00B35FBA"/>
    <w:rPr>
      <w:color w:val="605E5C"/>
      <w:shd w:val="clear" w:color="auto" w:fill="E1DFDD"/>
    </w:rPr>
  </w:style>
  <w:style w:type="paragraph" w:styleId="Revision">
    <w:name w:val="Revision"/>
    <w:hidden/>
    <w:uiPriority w:val="99"/>
    <w:semiHidden/>
    <w:rsid w:val="00872280"/>
  </w:style>
  <w:style w:type="character" w:styleId="FollowedHyperlink">
    <w:name w:val="FollowedHyperlink"/>
    <w:basedOn w:val="DefaultParagraphFont"/>
    <w:uiPriority w:val="99"/>
    <w:semiHidden/>
    <w:unhideWhenUsed/>
    <w:rsid w:val="004665F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qls.com.au/content-collections/guides/document-retention-guide" TargetMode="External"/><Relationship Id="rId13" Type="http://schemas.openxmlformats.org/officeDocument/2006/relationships/hyperlink" Target="https://www.legislation.qld.gov.au/view/whole/html/inforce/current/act-1974-075" TargetMode="External"/><Relationship Id="rId18" Type="http://schemas.openxmlformats.org/officeDocument/2006/relationships/hyperlink" Target="https://www.oaic.gov.au/privacy/privacy-guidance-for-organisations-and-government-agencies/organisations/privacy-guidance-for-reporting-entities-under-the-anti-money-laundering-and-counter-terrorism-financing-act" TargetMode="External"/><Relationship Id="rId26" Type="http://schemas.openxmlformats.org/officeDocument/2006/relationships/hyperlink" Target="https://lawcouncil.au/policy-agenda/regulation-of-the-profession-and-ethics/australian-solicitors-conduct-rules" TargetMode="External"/><Relationship Id="rId3" Type="http://schemas.openxmlformats.org/officeDocument/2006/relationships/styles" Target="styles.xml"/><Relationship Id="rId21" Type="http://schemas.openxmlformats.org/officeDocument/2006/relationships/hyperlink" Target="https://www.asic.gov.au/for-business-and-companies/companies/company-building-blocks/company-record-keeping/" TargetMode="External"/><Relationship Id="rId7" Type="http://schemas.openxmlformats.org/officeDocument/2006/relationships/endnotes" Target="endnotes.xml"/><Relationship Id="rId12" Type="http://schemas.openxmlformats.org/officeDocument/2006/relationships/hyperlink" Target="https://www.legislation.qld.gov.au/view/whole/html/inforce/current/sl-2017-0174" TargetMode="External"/><Relationship Id="rId17" Type="http://schemas.openxmlformats.org/officeDocument/2006/relationships/hyperlink" Target="https://www.oaic.gov.au/privacy/australian-privacy-principles/australian-privacy-principles-guidelines/chapter-11-app-11-security-of-personal-information" TargetMode="External"/><Relationship Id="rId25" Type="http://schemas.openxmlformats.org/officeDocument/2006/relationships/hyperlink" Target="https://www.liv.asn.au/download.aspx?DocumentVersionKey=73dcb2c9-df65-41b1-8dc7-8ef86840a5bf" TargetMode="External"/><Relationship Id="rId2" Type="http://schemas.openxmlformats.org/officeDocument/2006/relationships/numbering" Target="numbering.xml"/><Relationship Id="rId16" Type="http://schemas.openxmlformats.org/officeDocument/2006/relationships/hyperlink" Target="https://www.legislation.gov.au/Details/C2014C00076" TargetMode="External"/><Relationship Id="rId20" Type="http://schemas.openxmlformats.org/officeDocument/2006/relationships/hyperlink" Target="https://www.legislation.gov.au/Details/C2018C0003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qld.gov.au/view/whole/html/inforce/current/act-2007-024" TargetMode="External"/><Relationship Id="rId24" Type="http://schemas.openxmlformats.org/officeDocument/2006/relationships/hyperlink" Target="https://www.qls.com.au/content-collections/guides/document-retention-guide" TargetMode="External"/><Relationship Id="rId5" Type="http://schemas.openxmlformats.org/officeDocument/2006/relationships/webSettings" Target="webSettings.xml"/><Relationship Id="rId15" Type="http://schemas.openxmlformats.org/officeDocument/2006/relationships/hyperlink" Target="https://www.austrac.gov.au/industry-and-business/obligations-and-guidance/your-amlctf-program/develop-your-amlctf-programs/record-keeping/record-keeping-overview" TargetMode="External"/><Relationship Id="rId23" Type="http://schemas.openxmlformats.org/officeDocument/2006/relationships/hyperlink" Target="https://www.ato.gov.au/businesses-and-organisations/preparing-lodging-and-paying/record-keeping-for-business/overview-of-record-keeping-rules-for-business"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legislation.gov.au/Details/C2009A00028"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legislation.gov.au/Details/C2006A00169" TargetMode="External"/><Relationship Id="rId22" Type="http://schemas.openxmlformats.org/officeDocument/2006/relationships/hyperlink" Target="https://www.legislation.gov.au/C1936A00027" TargetMode="External"/><Relationship Id="rId27" Type="http://schemas.openxmlformats.org/officeDocument/2006/relationships/hyperlink" Target="https://www.naa.gov.au/information-management/information-governance/records-evidence-legal-proceedings/evidence-law-australia"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qls.com.au/resource-centre/anti-money-laundering-counter-terrorism-financing" TargetMode="External"/><Relationship Id="rId13" Type="http://schemas.openxmlformats.org/officeDocument/2006/relationships/hyperlink" Target="https://www.legislation.qld.gov.au/view/whole/html/inforce/current/act-1974-075" TargetMode="External"/><Relationship Id="rId3" Type="http://schemas.openxmlformats.org/officeDocument/2006/relationships/hyperlink" Target="https://www.oaic.gov.au/privacy/australian-privacy-principles/australian-privacy-principles-guidelines/chapter-11-app-11-security-of-personal-information" TargetMode="External"/><Relationship Id="rId7" Type="http://schemas.openxmlformats.org/officeDocument/2006/relationships/hyperlink" Target="https://www.arnecc.gov.au/wp-content/uploads/2024/08/MPRGUI2.pdf" TargetMode="External"/><Relationship Id="rId12" Type="http://schemas.openxmlformats.org/officeDocument/2006/relationships/hyperlink" Target="https://www.ato.gov.au/businesses-and-organisations/preparing-lodging-and-paying/record-keeping-for-business/overview-of-record-keeping-rules-for-business" TargetMode="External"/><Relationship Id="rId2" Type="http://schemas.openxmlformats.org/officeDocument/2006/relationships/hyperlink" Target="https://www.legislation.qld.gov.au/view/whole/html/inforce/current/sl-2017-0174" TargetMode="External"/><Relationship Id="rId1" Type="http://schemas.openxmlformats.org/officeDocument/2006/relationships/hyperlink" Target="https://www.qlsproctor.com.au/2023/09/new-laws-deliver-significant-admin-changes-for-firms/" TargetMode="External"/><Relationship Id="rId6" Type="http://schemas.openxmlformats.org/officeDocument/2006/relationships/hyperlink" Target="https://www.titlesqld.com.au/wp-content/uploads/2026/04/ltpm-part-61.pdf" TargetMode="External"/><Relationship Id="rId11" Type="http://schemas.openxmlformats.org/officeDocument/2006/relationships/hyperlink" Target="https://www.austrac.gov.au/about-us/legislation/future-law-compilation-amlctf-act" TargetMode="External"/><Relationship Id="rId5" Type="http://schemas.openxmlformats.org/officeDocument/2006/relationships/hyperlink" Target="https://www.oaic.gov.au/privacy/privacy-guidance-for-organisations-and-government-agencies/organisations/privacy-guidance-for-reporting-entities-under-the-anti-money-laundering-and-counter-terrorism-financing-act" TargetMode="External"/><Relationship Id="rId10" Type="http://schemas.openxmlformats.org/officeDocument/2006/relationships/hyperlink" Target="https://www.austrac.gov.au/industry-and-business/obligations-and-guidance/your-amlctf-program/develop-your-amlctf-programs/record-keeping/record-keeping-overview" TargetMode="External"/><Relationship Id="rId4" Type="http://schemas.openxmlformats.org/officeDocument/2006/relationships/hyperlink" Target="https://www.asic.gov.au/for-business-and-companies/companies/company-building-blocks/company-record-keeping/" TargetMode="External"/><Relationship Id="rId9" Type="http://schemas.openxmlformats.org/officeDocument/2006/relationships/hyperlink" Target="https://www.liv.asn.au/download.aspx?DocumentVersionKey=73dcb2c9-df65-41b1-8dc7-8ef86840a5bf&amp;srsltid=AfmBOop6LdD0h6dPUWSokeNQtNMDAefXIag5dHEe4kRLHU7w9O4p7x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36540-73E0-4BCF-8A64-557224976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10</Pages>
  <Words>3058</Words>
  <Characters>17433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Matisse Fennessy</cp:lastModifiedBy>
  <cp:revision>5</cp:revision>
  <dcterms:created xsi:type="dcterms:W3CDTF">2026-06-18T06:33:00Z</dcterms:created>
  <dcterms:modified xsi:type="dcterms:W3CDTF">2026-06-22T23:23:00Z</dcterms:modified>
</cp:coreProperties>
</file>